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4A93A0" w14:textId="77777777" w:rsidR="00AC2D9C" w:rsidRPr="00244F93" w:rsidRDefault="00AC2D9C" w:rsidP="00AC2D9C">
      <w:pPr>
        <w:pStyle w:val="ECEfiche"/>
        <w:pBdr>
          <w:top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70E3591" w14:textId="77777777" w:rsidR="00AC2D9C" w:rsidRDefault="00AC2D9C" w:rsidP="00AC2D9C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AC2D9C" w14:paraId="21CF40C9" w14:textId="77777777" w:rsidTr="00AC2D9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29F0B7" w14:textId="77777777" w:rsidR="00AC2D9C" w:rsidRDefault="00AC2D9C" w:rsidP="00AC2D9C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F046BAF" w14:textId="77777777" w:rsidR="00AC2D9C" w:rsidRDefault="00AC2D9C" w:rsidP="00AC2D9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3CBD3" w14:textId="77777777" w:rsidR="00AC2D9C" w:rsidRDefault="00AC2D9C" w:rsidP="00AC2D9C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AC2D9C" w14:paraId="4E7CA052" w14:textId="77777777" w:rsidTr="00AC2D9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F51E69" w14:textId="77777777" w:rsidR="00AC2D9C" w:rsidRDefault="00AC2D9C" w:rsidP="00AC2D9C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49C6F3F" w14:textId="77777777" w:rsidR="00AC2D9C" w:rsidRDefault="00AC2D9C" w:rsidP="00AC2D9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649A35" w14:textId="77777777" w:rsidR="00AC2D9C" w:rsidRDefault="00AC2D9C" w:rsidP="00AC2D9C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1E1F450E" w14:textId="77777777" w:rsidR="00AC2D9C" w:rsidRDefault="00AC2D9C" w:rsidP="00AC2D9C">
      <w:pPr>
        <w:pStyle w:val="ECEcorps"/>
      </w:pPr>
    </w:p>
    <w:p w14:paraId="30A8E6B4" w14:textId="7C16C72C" w:rsidR="00AC2D9C" w:rsidRDefault="00AC2D9C" w:rsidP="00AC2D9C">
      <w:pPr>
        <w:pStyle w:val="ECEbordure"/>
      </w:pPr>
      <w:r>
        <w:t xml:space="preserve">Cette situation d’évaluation </w:t>
      </w:r>
      <w:r w:rsidRPr="00966915">
        <w:t>comporte</w:t>
      </w:r>
      <w:r w:rsidR="00DE4A42">
        <w:rPr>
          <w:b/>
        </w:rPr>
        <w:t xml:space="preserve"> </w:t>
      </w:r>
      <w:r w:rsidR="00BD61FC">
        <w:rPr>
          <w:b/>
        </w:rPr>
        <w:t>quatre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AA75F35" w14:textId="77777777" w:rsidR="00AC2D9C" w:rsidRDefault="00AC2D9C" w:rsidP="00AC2D9C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1FC4998" w14:textId="77777777" w:rsidR="00AC2D9C" w:rsidRDefault="00AC2D9C" w:rsidP="00AC2D9C">
      <w:pPr>
        <w:pStyle w:val="ECEbordure"/>
      </w:pPr>
    </w:p>
    <w:p w14:paraId="26A04827" w14:textId="77777777" w:rsidR="00AC2D9C" w:rsidRDefault="00AC2D9C" w:rsidP="00AC2D9C">
      <w:pPr>
        <w:pStyle w:val="ECEbordure"/>
      </w:pPr>
      <w:r w:rsidRPr="00AC5BC7">
        <w:t>Le candidat doit agir en autonomie et faire preuve d’initiative tout au long de l’épreuve.</w:t>
      </w:r>
    </w:p>
    <w:p w14:paraId="6DFCC446" w14:textId="77777777" w:rsidR="00AC2D9C" w:rsidRPr="00AC5BC7" w:rsidRDefault="00AC2D9C" w:rsidP="00AC2D9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1502B5E8" w14:textId="77777777" w:rsidR="00AC2D9C" w:rsidRDefault="00AC2D9C" w:rsidP="00AC2D9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4093E27" w14:textId="77777777" w:rsidR="00AC2D9C" w:rsidRDefault="00AC2D9C" w:rsidP="00AC2D9C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11A232D7" w14:textId="77777777" w:rsidR="00AC2D9C" w:rsidRDefault="00AC2D9C" w:rsidP="00AC2D9C">
      <w:pPr>
        <w:pStyle w:val="ECEcorps"/>
        <w:rPr>
          <w:u w:val="single"/>
        </w:rPr>
      </w:pPr>
    </w:p>
    <w:p w14:paraId="16851F53" w14:textId="77777777" w:rsidR="00AC2D9C" w:rsidRPr="00545715" w:rsidRDefault="00AC2D9C" w:rsidP="00AC2D9C">
      <w:pPr>
        <w:pStyle w:val="ECEcorps"/>
        <w:rPr>
          <w:u w:val="single"/>
        </w:rPr>
      </w:pPr>
    </w:p>
    <w:p w14:paraId="0C0F75FE" w14:textId="77777777" w:rsidR="00AC2D9C" w:rsidRPr="00136091" w:rsidRDefault="00AC2D9C" w:rsidP="00AC2D9C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82E45A6" w14:textId="77777777" w:rsidR="00AC2D9C" w:rsidRPr="00CE1BF1" w:rsidRDefault="00AC2D9C" w:rsidP="00AC2D9C">
      <w:pPr>
        <w:pStyle w:val="ECEcorps"/>
      </w:pPr>
    </w:p>
    <w:p w14:paraId="2DC73024" w14:textId="6277DC3B" w:rsidR="0005781C" w:rsidRPr="0005781C" w:rsidRDefault="00CE1BF1" w:rsidP="0005781C">
      <w:pPr>
        <w:pStyle w:val="ECEcorps"/>
      </w:pPr>
      <w:r>
        <w:t xml:space="preserve">L’acide ascorbique (vitamine C) provient du préfixe </w:t>
      </w:r>
      <w:r w:rsidRPr="00CE1BF1">
        <w:rPr>
          <w:i/>
        </w:rPr>
        <w:t>a</w:t>
      </w:r>
      <w:r>
        <w:t xml:space="preserve"> (</w:t>
      </w:r>
      <w:r w:rsidR="001109DC">
        <w:t>privatif</w:t>
      </w:r>
      <w:r>
        <w:t>) et de scorbut</w:t>
      </w:r>
      <w:r w:rsidR="0005781C">
        <w:t>,</w:t>
      </w:r>
      <w:r>
        <w:t xml:space="preserve"> c’est-à-dire « anti</w:t>
      </w:r>
      <w:r w:rsidR="0005781C">
        <w:t>-</w:t>
      </w:r>
      <w:r>
        <w:t xml:space="preserve">scorbut ». Le scorbut est une maladie liée à une carence en vitamine C qui a été reconnue en 1930. </w:t>
      </w:r>
      <w:r w:rsidR="0005781C" w:rsidRPr="0005781C">
        <w:t>Cette affection avait toutefois déjà été observée dès la Renaissance chez les marins privés de produits alimentaires frais. Elle provoque notamment le déchaussement des dents.</w:t>
      </w:r>
      <w:r w:rsidR="0005781C">
        <w:t xml:space="preserve"> </w:t>
      </w:r>
      <w:r w:rsidR="0005781C" w:rsidRPr="0005781C">
        <w:t>La vitamine C n’est pas produite par l’organisme</w:t>
      </w:r>
      <w:r w:rsidR="000F0156">
        <w:t> ;</w:t>
      </w:r>
      <w:r w:rsidR="0005781C" w:rsidRPr="0005781C">
        <w:t xml:space="preserve"> elle doit</w:t>
      </w:r>
      <w:r w:rsidR="00BD61FC">
        <w:t xml:space="preserve"> donc</w:t>
      </w:r>
      <w:r w:rsidR="0005781C" w:rsidRPr="0005781C">
        <w:t xml:space="preserve"> être apportée par l’alimentation.</w:t>
      </w:r>
    </w:p>
    <w:p w14:paraId="573F484A" w14:textId="107E35E7" w:rsidR="00CE1BF1" w:rsidRDefault="00CE1BF1" w:rsidP="001109DC">
      <w:pPr>
        <w:pStyle w:val="ECEcorps"/>
      </w:pPr>
      <w:r>
        <w:t xml:space="preserve"> </w:t>
      </w:r>
    </w:p>
    <w:p w14:paraId="3FBC8903" w14:textId="77777777" w:rsidR="00CE1BF1" w:rsidRDefault="00CE1BF1" w:rsidP="00AC2D9C">
      <w:pPr>
        <w:pStyle w:val="ECEcorps"/>
        <w:rPr>
          <w:u w:val="single"/>
        </w:rPr>
      </w:pPr>
    </w:p>
    <w:p w14:paraId="0BEA684C" w14:textId="4F585424" w:rsidR="0005781C" w:rsidRDefault="000F0156" w:rsidP="000F0156">
      <w:pPr>
        <w:pStyle w:val="ECEcorps"/>
        <w:jc w:val="center"/>
        <w:rPr>
          <w:u w:val="single"/>
        </w:rPr>
      </w:pPr>
      <w:r>
        <w:rPr>
          <w:noProof/>
        </w:rPr>
        <w:drawing>
          <wp:inline distT="0" distB="0" distL="0" distR="0" wp14:anchorId="49F44416" wp14:editId="6C62B100">
            <wp:extent cx="1833891" cy="1221199"/>
            <wp:effectExtent l="0" t="0" r="0" b="0"/>
            <wp:docPr id="1" name="Image 1" descr="https://upload.wikimedia.org/wikipedia/commons/thumb/e/e3/Oranges_-_whole-halved-segment.jpg/500px-Oranges_-_whole-halved-seg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e/e3/Oranges_-_whole-halved-segment.jpg/500px-Oranges_-_whole-halved-segmen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147" cy="123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0BD9A" w14:textId="4F61FD77" w:rsidR="000F0156" w:rsidRPr="000F0156" w:rsidRDefault="000F0156" w:rsidP="000F0156">
      <w:pPr>
        <w:pStyle w:val="ECEcorps"/>
        <w:jc w:val="center"/>
        <w:rPr>
          <w:i/>
          <w:sz w:val="16"/>
          <w:u w:val="single"/>
        </w:rPr>
      </w:pPr>
      <w:r w:rsidRPr="000F0156">
        <w:rPr>
          <w:i/>
          <w:sz w:val="16"/>
          <w:u w:val="single"/>
        </w:rPr>
        <w:t>Source : https://fr.wikipedia.org/wiki/Orange_(fruit)</w:t>
      </w:r>
    </w:p>
    <w:p w14:paraId="068A1220" w14:textId="77777777" w:rsidR="0005781C" w:rsidRDefault="0005781C" w:rsidP="00AC2D9C">
      <w:pPr>
        <w:pStyle w:val="ECEcorps"/>
        <w:rPr>
          <w:u w:val="single"/>
        </w:rPr>
      </w:pPr>
    </w:p>
    <w:p w14:paraId="61773E4F" w14:textId="77777777" w:rsidR="00AC2D9C" w:rsidRDefault="00AC2D9C" w:rsidP="00AC2D9C">
      <w:pPr>
        <w:pStyle w:val="ECEcorps"/>
      </w:pPr>
    </w:p>
    <w:p w14:paraId="369E55C9" w14:textId="43431109" w:rsidR="00AC2D9C" w:rsidRDefault="00AC2D9C" w:rsidP="00AC2D9C">
      <w:pPr>
        <w:pStyle w:val="ECEcorps"/>
        <w:rPr>
          <w:b/>
          <w:sz w:val="24"/>
          <w:szCs w:val="24"/>
          <w:u w:val="single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la masse d’acide asco</w:t>
      </w:r>
      <w:r w:rsidR="00BD61FC">
        <w:rPr>
          <w:b/>
          <w:i/>
          <w:sz w:val="24"/>
        </w:rPr>
        <w:t>rbique affichée sur la notice d’un</w:t>
      </w:r>
      <w:r>
        <w:rPr>
          <w:b/>
          <w:i/>
          <w:sz w:val="24"/>
        </w:rPr>
        <w:t xml:space="preserve"> médicament. </w:t>
      </w:r>
    </w:p>
    <w:p w14:paraId="734DC7DF" w14:textId="77777777" w:rsidR="00AC2D9C" w:rsidRDefault="00AC2D9C" w:rsidP="00AC2D9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09F9BDA3" w14:textId="77777777" w:rsidR="00AC2D9C" w:rsidRPr="007146B9" w:rsidRDefault="00AC2D9C" w:rsidP="00AC2D9C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CECC100" w14:textId="77777777" w:rsidR="00AC2D9C" w:rsidRPr="00545715" w:rsidRDefault="00AC2D9C" w:rsidP="00AC2D9C">
      <w:pPr>
        <w:pStyle w:val="ECEcorps"/>
      </w:pPr>
    </w:p>
    <w:p w14:paraId="6E4040F4" w14:textId="77777777" w:rsidR="00AA771C" w:rsidRDefault="00AA771C" w:rsidP="00AC2D9C">
      <w:pPr>
        <w:pStyle w:val="ECEtitre"/>
        <w:rPr>
          <w:sz w:val="24"/>
          <w:szCs w:val="24"/>
        </w:rPr>
      </w:pPr>
    </w:p>
    <w:p w14:paraId="3208B2B9" w14:textId="5EE8EF5D" w:rsidR="00AA771C" w:rsidRDefault="00AA771C" w:rsidP="00AC2D9C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No</w:t>
      </w:r>
      <w:r w:rsidR="00CB5714">
        <w:rPr>
          <w:sz w:val="24"/>
          <w:szCs w:val="24"/>
        </w:rPr>
        <w:t>tice du comprimé de vitamine C </w:t>
      </w:r>
    </w:p>
    <w:p w14:paraId="3AF120EE" w14:textId="77777777" w:rsidR="000F072B" w:rsidRDefault="000F072B" w:rsidP="000F072B">
      <w:pPr>
        <w:pStyle w:val="ECEcorps"/>
      </w:pPr>
    </w:p>
    <w:p w14:paraId="5784E4A8" w14:textId="4DBE201D" w:rsidR="000F072B" w:rsidRDefault="00480A61" w:rsidP="00480A61">
      <w:pPr>
        <w:pStyle w:val="ECEcorps"/>
        <w:jc w:val="center"/>
      </w:pPr>
      <w:r>
        <w:rPr>
          <w:noProof/>
        </w:rPr>
        <w:drawing>
          <wp:inline distT="0" distB="0" distL="0" distR="0" wp14:anchorId="36311020" wp14:editId="792E75B6">
            <wp:extent cx="2026800" cy="1260000"/>
            <wp:effectExtent l="0" t="0" r="0" b="0"/>
            <wp:docPr id="1865633923" name="Picture 2" descr="A close-up of a lab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633923" name="Picture 2" descr="A close-up of a label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68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B2A19" w14:textId="41DADFCC" w:rsidR="000F072B" w:rsidRPr="00136091" w:rsidRDefault="000F072B" w:rsidP="000F072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</w:t>
      </w:r>
      <w:r w:rsidR="00CB5714">
        <w:rPr>
          <w:sz w:val="24"/>
          <w:szCs w:val="24"/>
        </w:rPr>
        <w:t>s</w:t>
      </w:r>
      <w:r w:rsidRPr="00136091">
        <w:rPr>
          <w:sz w:val="24"/>
          <w:szCs w:val="24"/>
        </w:rPr>
        <w:t xml:space="preserve"> utile</w:t>
      </w:r>
      <w:r w:rsidR="00CB5714">
        <w:rPr>
          <w:sz w:val="24"/>
          <w:szCs w:val="24"/>
        </w:rPr>
        <w:t>s</w:t>
      </w:r>
    </w:p>
    <w:p w14:paraId="00F3BC04" w14:textId="77777777" w:rsidR="000F072B" w:rsidRDefault="000F072B" w:rsidP="00AC2D9C">
      <w:pPr>
        <w:pStyle w:val="ECEcorps"/>
      </w:pPr>
    </w:p>
    <w:p w14:paraId="4A0DDF7C" w14:textId="2501D7CE" w:rsidR="00A46FEA" w:rsidRPr="000F0156" w:rsidRDefault="00A46FEA" w:rsidP="00AC2D9C">
      <w:pPr>
        <w:pStyle w:val="ECEcorps"/>
        <w:numPr>
          <w:ilvl w:val="0"/>
          <w:numId w:val="3"/>
        </w:numPr>
      </w:pPr>
      <w:r w:rsidRPr="00B00D00">
        <w:t>L’apport nutritionnel conseillé</w:t>
      </w:r>
      <w:r w:rsidR="00214FC3" w:rsidRPr="00B00D00">
        <w:t xml:space="preserve"> </w:t>
      </w:r>
      <w:r w:rsidRPr="00B00D00">
        <w:t xml:space="preserve">en vitamine C pour un adulte est de </w:t>
      </w:r>
      <w:r w:rsidRPr="000F0156">
        <w:rPr>
          <w:bCs/>
        </w:rPr>
        <w:t>110 mg</w:t>
      </w:r>
      <w:r w:rsidR="00EF313B" w:rsidRPr="000F0156">
        <w:t xml:space="preserve"> par </w:t>
      </w:r>
      <w:r w:rsidRPr="000F0156">
        <w:t xml:space="preserve">jour (valeur </w:t>
      </w:r>
      <w:r w:rsidR="00EF313B" w:rsidRPr="000F0156">
        <w:t xml:space="preserve">officielle </w:t>
      </w:r>
      <w:r w:rsidRPr="000F0156">
        <w:t>ANSES</w:t>
      </w:r>
      <w:r w:rsidR="00EF313B" w:rsidRPr="000F0156">
        <w:t>).</w:t>
      </w:r>
    </w:p>
    <w:p w14:paraId="3173A2EF" w14:textId="39A3FBB7" w:rsidR="00EF313B" w:rsidRPr="00B00D00" w:rsidRDefault="00EF313B" w:rsidP="00AC2D9C">
      <w:pPr>
        <w:pStyle w:val="ECEcorps"/>
        <w:numPr>
          <w:ilvl w:val="0"/>
          <w:numId w:val="3"/>
        </w:numPr>
      </w:pPr>
      <w:r w:rsidRPr="000F0156">
        <w:t xml:space="preserve">La </w:t>
      </w:r>
      <w:r w:rsidR="0042179E" w:rsidRPr="000F0156">
        <w:t>l</w:t>
      </w:r>
      <w:r w:rsidRPr="000F0156">
        <w:t xml:space="preserve">imite </w:t>
      </w:r>
      <w:r w:rsidR="0042179E" w:rsidRPr="000F0156">
        <w:t>s</w:t>
      </w:r>
      <w:r w:rsidRPr="000F0156">
        <w:t xml:space="preserve">upérieure de </w:t>
      </w:r>
      <w:r w:rsidR="0042179E" w:rsidRPr="000F0156">
        <w:t>s</w:t>
      </w:r>
      <w:r w:rsidRPr="000F0156">
        <w:t>écurité (ou la dose maximale tolérée</w:t>
      </w:r>
      <w:r w:rsidR="00214FC3" w:rsidRPr="000F0156">
        <w:t>)</w:t>
      </w:r>
      <w:r w:rsidRPr="000F0156">
        <w:t xml:space="preserve">, qui correspond à la dose de vitamine C au-delà de laquelle des effets indésirables peuvent apparaître, est d’environ </w:t>
      </w:r>
      <w:r w:rsidRPr="000F0156">
        <w:rPr>
          <w:bCs/>
        </w:rPr>
        <w:t>1</w:t>
      </w:r>
      <w:r w:rsidR="00214FC3" w:rsidRPr="000F0156">
        <w:rPr>
          <w:bCs/>
        </w:rPr>
        <w:t xml:space="preserve"> </w:t>
      </w:r>
      <w:r w:rsidRPr="000F0156">
        <w:rPr>
          <w:bCs/>
        </w:rPr>
        <w:t>000 mg</w:t>
      </w:r>
      <w:r w:rsidRPr="000F0156">
        <w:t xml:space="preserve"> par</w:t>
      </w:r>
      <w:r w:rsidRPr="00B00D00">
        <w:t xml:space="preserve"> jour pour un adulte (valeur officielle ANSES).</w:t>
      </w:r>
    </w:p>
    <w:p w14:paraId="1D509FBC" w14:textId="3BBAA31A" w:rsidR="00AC2D9C" w:rsidRPr="003563A2" w:rsidRDefault="00E32510" w:rsidP="00AC2D9C">
      <w:pPr>
        <w:pStyle w:val="ECEcorps"/>
        <w:numPr>
          <w:ilvl w:val="0"/>
          <w:numId w:val="3"/>
        </w:numPr>
        <w:rPr>
          <w:lang w:val="pt-PT"/>
        </w:rPr>
      </w:pPr>
      <w:r w:rsidRPr="003563A2">
        <w:rPr>
          <w:lang w:val="pt-PT"/>
        </w:rPr>
        <w:t>Masse molaire</w:t>
      </w:r>
      <w:r w:rsidR="00476B66" w:rsidRPr="003563A2">
        <w:rPr>
          <w:lang w:val="pt-PT"/>
        </w:rPr>
        <w:t xml:space="preserve"> de l’acide ascorbique </w:t>
      </w:r>
      <w:r w:rsidR="00336D16" w:rsidRPr="003563A2">
        <w:rPr>
          <w:lang w:val="pt-PT"/>
        </w:rPr>
        <w:t>C</w:t>
      </w:r>
      <w:r w:rsidR="00336D16" w:rsidRPr="003563A2">
        <w:rPr>
          <w:vertAlign w:val="subscript"/>
          <w:lang w:val="pt-PT"/>
        </w:rPr>
        <w:t>6</w:t>
      </w:r>
      <w:r w:rsidR="00336D16" w:rsidRPr="003563A2">
        <w:rPr>
          <w:lang w:val="pt-PT"/>
        </w:rPr>
        <w:t>H</w:t>
      </w:r>
      <w:r w:rsidR="00336D16" w:rsidRPr="003563A2">
        <w:rPr>
          <w:vertAlign w:val="subscript"/>
          <w:lang w:val="pt-PT"/>
        </w:rPr>
        <w:t>8</w:t>
      </w:r>
      <w:r w:rsidR="00336D16" w:rsidRPr="003563A2">
        <w:rPr>
          <w:lang w:val="pt-PT"/>
        </w:rPr>
        <w:t>O</w:t>
      </w:r>
      <w:r w:rsidR="00336D16" w:rsidRPr="003563A2">
        <w:rPr>
          <w:vertAlign w:val="subscript"/>
          <w:lang w:val="pt-PT"/>
        </w:rPr>
        <w:t>6</w:t>
      </w:r>
      <w:r w:rsidR="00336D16" w:rsidRPr="003563A2">
        <w:rPr>
          <w:lang w:val="pt-PT"/>
        </w:rPr>
        <w:t xml:space="preserve"> </w:t>
      </w:r>
      <w:r w:rsidR="00476B66" w:rsidRPr="003563A2">
        <w:rPr>
          <w:lang w:val="pt-PT"/>
        </w:rPr>
        <w:t xml:space="preserve">: </w:t>
      </w:r>
      <w:r w:rsidR="00476B66" w:rsidRPr="003563A2">
        <w:rPr>
          <w:i/>
          <w:iCs/>
          <w:lang w:val="pt-PT"/>
        </w:rPr>
        <w:t>M</w:t>
      </w:r>
      <w:r w:rsidR="00476B66" w:rsidRPr="003563A2">
        <w:rPr>
          <w:vertAlign w:val="subscript"/>
          <w:lang w:val="pt-PT"/>
        </w:rPr>
        <w:t xml:space="preserve">acide ascorbique </w:t>
      </w:r>
      <w:r w:rsidR="00476B66" w:rsidRPr="003563A2">
        <w:rPr>
          <w:lang w:val="pt-PT"/>
        </w:rPr>
        <w:t>= 176,13 g.mol</w:t>
      </w:r>
      <w:r w:rsidR="00476B66" w:rsidRPr="003563A2">
        <w:rPr>
          <w:vertAlign w:val="superscript"/>
          <w:lang w:val="pt-PT"/>
        </w:rPr>
        <w:t>–1</w:t>
      </w:r>
    </w:p>
    <w:p w14:paraId="37B66260" w14:textId="0F099C57" w:rsidR="000F4E9D" w:rsidRPr="003563A2" w:rsidRDefault="000F4E9D" w:rsidP="000F4E9D">
      <w:pPr>
        <w:pStyle w:val="ECEcorps"/>
        <w:ind w:left="720"/>
        <w:rPr>
          <w:lang w:val="pt-PT"/>
        </w:rPr>
      </w:pPr>
      <w:r w:rsidRPr="003563A2">
        <w:rPr>
          <w:lang w:val="pt-PT"/>
        </w:rPr>
        <w:t xml:space="preserve">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66"/>
        <w:gridCol w:w="2541"/>
        <w:gridCol w:w="2542"/>
        <w:gridCol w:w="2545"/>
      </w:tblGrid>
      <w:tr w:rsidR="000F4E9D" w14:paraId="7BBE9A67" w14:textId="77777777" w:rsidTr="000F4E9D">
        <w:trPr>
          <w:jc w:val="center"/>
        </w:trPr>
        <w:tc>
          <w:tcPr>
            <w:tcW w:w="2605" w:type="dxa"/>
            <w:vAlign w:val="center"/>
          </w:tcPr>
          <w:p w14:paraId="4D6CE995" w14:textId="1454513B" w:rsidR="000F4E9D" w:rsidRDefault="000F4E9D" w:rsidP="000F4E9D">
            <w:pPr>
              <w:pStyle w:val="ECEcorps"/>
              <w:jc w:val="center"/>
            </w:pPr>
            <w:r>
              <w:t>C</w:t>
            </w:r>
            <w:r w:rsidRPr="00145422">
              <w:t>ouple</w:t>
            </w:r>
            <w:r>
              <w:t>s rédox mis en jeu</w:t>
            </w:r>
          </w:p>
        </w:tc>
        <w:tc>
          <w:tcPr>
            <w:tcW w:w="2605" w:type="dxa"/>
            <w:vAlign w:val="center"/>
          </w:tcPr>
          <w:p w14:paraId="6649C721" w14:textId="5CE8D280" w:rsidR="000F4E9D" w:rsidRDefault="000F4E9D" w:rsidP="000F4E9D">
            <w:pPr>
              <w:pStyle w:val="ECEcorps"/>
              <w:jc w:val="center"/>
            </w:pPr>
            <w:r>
              <w:t>I</w:t>
            </w:r>
            <w:r w:rsidRPr="00145422">
              <w:rPr>
                <w:vertAlign w:val="subscript"/>
              </w:rPr>
              <w:t>2</w:t>
            </w:r>
            <w:r w:rsidRPr="002E071C">
              <w:t xml:space="preserve"> </w:t>
            </w:r>
            <w:r>
              <w:t>/ I</w:t>
            </w:r>
            <w:r>
              <w:rPr>
                <w:vertAlign w:val="superscript"/>
              </w:rPr>
              <w:t>–</w:t>
            </w:r>
          </w:p>
        </w:tc>
        <w:tc>
          <w:tcPr>
            <w:tcW w:w="2605" w:type="dxa"/>
            <w:vAlign w:val="center"/>
          </w:tcPr>
          <w:p w14:paraId="37691A33" w14:textId="0031FB01" w:rsidR="000F4E9D" w:rsidRDefault="000F4E9D" w:rsidP="000F4E9D">
            <w:pPr>
              <w:pStyle w:val="ECEcorps"/>
              <w:jc w:val="center"/>
            </w:pPr>
            <w:r>
              <w:t>S</w:t>
            </w:r>
            <w:r w:rsidRPr="00145422">
              <w:rPr>
                <w:vertAlign w:val="subscript"/>
              </w:rPr>
              <w:t>4</w:t>
            </w:r>
            <w:r>
              <w:t>O</w:t>
            </w:r>
            <w:r w:rsidRPr="00145422">
              <w:rPr>
                <w:vertAlign w:val="subscript"/>
              </w:rPr>
              <w:t>6</w:t>
            </w:r>
            <w:r w:rsidRPr="00145422">
              <w:rPr>
                <w:vertAlign w:val="superscript"/>
              </w:rPr>
              <w:t>2</w:t>
            </w:r>
            <w:r>
              <w:rPr>
                <w:vertAlign w:val="superscript"/>
              </w:rPr>
              <w:t>–</w:t>
            </w:r>
            <w:r>
              <w:t xml:space="preserve"> </w:t>
            </w:r>
            <w:r w:rsidRPr="00145422">
              <w:t xml:space="preserve">/ </w:t>
            </w:r>
            <w:r>
              <w:t>S</w:t>
            </w:r>
            <w:r w:rsidRPr="00145422">
              <w:rPr>
                <w:vertAlign w:val="subscript"/>
              </w:rPr>
              <w:t>2</w:t>
            </w:r>
            <w:r>
              <w:t>O</w:t>
            </w:r>
            <w:r w:rsidRPr="00145422">
              <w:rPr>
                <w:vertAlign w:val="subscript"/>
              </w:rPr>
              <w:t>3</w:t>
            </w:r>
            <w:r w:rsidRPr="00145422">
              <w:rPr>
                <w:vertAlign w:val="superscript"/>
              </w:rPr>
              <w:t>2</w:t>
            </w:r>
            <w:r>
              <w:rPr>
                <w:vertAlign w:val="superscript"/>
              </w:rPr>
              <w:t>–</w:t>
            </w:r>
          </w:p>
        </w:tc>
        <w:tc>
          <w:tcPr>
            <w:tcW w:w="2605" w:type="dxa"/>
            <w:vAlign w:val="center"/>
          </w:tcPr>
          <w:p w14:paraId="561EEEDE" w14:textId="7134D181" w:rsidR="000F4E9D" w:rsidRDefault="000F4E9D" w:rsidP="000F4E9D">
            <w:pPr>
              <w:pStyle w:val="ECEcorps"/>
              <w:jc w:val="center"/>
            </w:pPr>
            <w:r w:rsidRPr="00777FAD">
              <w:t>C</w:t>
            </w:r>
            <w:r w:rsidRPr="00777FAD">
              <w:rPr>
                <w:vertAlign w:val="subscript"/>
              </w:rPr>
              <w:t>6</w:t>
            </w:r>
            <w:r w:rsidRPr="00777FAD">
              <w:t>H</w:t>
            </w:r>
            <w:r w:rsidRPr="00777FAD">
              <w:rPr>
                <w:vertAlign w:val="subscript"/>
              </w:rPr>
              <w:t>6</w:t>
            </w:r>
            <w:r w:rsidRPr="00777FAD">
              <w:t>O</w:t>
            </w:r>
            <w:r w:rsidRPr="00777FAD">
              <w:rPr>
                <w:vertAlign w:val="subscript"/>
              </w:rPr>
              <w:t>6</w:t>
            </w:r>
            <w:r>
              <w:rPr>
                <w:vertAlign w:val="subscript"/>
              </w:rPr>
              <w:t xml:space="preserve"> </w:t>
            </w:r>
            <w:r w:rsidRPr="00145422">
              <w:t>/</w:t>
            </w:r>
            <w:r>
              <w:t xml:space="preserve"> </w:t>
            </w:r>
            <w:r w:rsidRPr="00777FAD">
              <w:t>C</w:t>
            </w:r>
            <w:r w:rsidRPr="00777FAD">
              <w:rPr>
                <w:vertAlign w:val="subscript"/>
              </w:rPr>
              <w:t>6</w:t>
            </w:r>
            <w:r w:rsidRPr="00777FAD">
              <w:t>H</w:t>
            </w:r>
            <w:r w:rsidRPr="00777FAD">
              <w:rPr>
                <w:vertAlign w:val="subscript"/>
              </w:rPr>
              <w:t>8</w:t>
            </w:r>
            <w:r w:rsidRPr="00777FAD">
              <w:t>O</w:t>
            </w:r>
            <w:r w:rsidRPr="00777FAD">
              <w:rPr>
                <w:vertAlign w:val="subscript"/>
              </w:rPr>
              <w:t>6</w:t>
            </w:r>
          </w:p>
        </w:tc>
      </w:tr>
      <w:tr w:rsidR="000F4E9D" w14:paraId="66A82E89" w14:textId="77777777" w:rsidTr="000F4E9D">
        <w:trPr>
          <w:jc w:val="center"/>
        </w:trPr>
        <w:tc>
          <w:tcPr>
            <w:tcW w:w="2605" w:type="dxa"/>
            <w:vAlign w:val="center"/>
          </w:tcPr>
          <w:p w14:paraId="5A3666DD" w14:textId="507FD309" w:rsidR="000F4E9D" w:rsidRDefault="000F4E9D" w:rsidP="000F4E9D">
            <w:pPr>
              <w:pStyle w:val="ECEcorps"/>
              <w:jc w:val="center"/>
            </w:pPr>
            <w:r w:rsidRPr="000F4E9D">
              <w:t>Pictogrammes de sécurité</w:t>
            </w:r>
          </w:p>
        </w:tc>
        <w:tc>
          <w:tcPr>
            <w:tcW w:w="2605" w:type="dxa"/>
            <w:vAlign w:val="center"/>
          </w:tcPr>
          <w:p w14:paraId="74151974" w14:textId="566EA071" w:rsidR="000F4E9D" w:rsidRDefault="000F4E9D" w:rsidP="000F4E9D">
            <w:pPr>
              <w:pStyle w:val="ECEcorps"/>
              <w:jc w:val="center"/>
            </w:pPr>
            <w:r w:rsidRPr="0006787C">
              <w:rPr>
                <w:noProof/>
              </w:rPr>
              <w:drawing>
                <wp:inline distT="0" distB="0" distL="0" distR="0" wp14:anchorId="1870FC21" wp14:editId="1BB5C3C8">
                  <wp:extent cx="360000" cy="360000"/>
                  <wp:effectExtent l="0" t="0" r="2540" b="2540"/>
                  <wp:docPr id="471" name="Pictur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Picture 47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6D0DF746" wp14:editId="05118779">
                  <wp:extent cx="360000" cy="360000"/>
                  <wp:effectExtent l="0" t="0" r="2540" b="2540"/>
                  <wp:docPr id="147018912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0189123" name="Picture 147018912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vAlign w:val="center"/>
          </w:tcPr>
          <w:p w14:paraId="687E69EE" w14:textId="1245D492" w:rsidR="000F4E9D" w:rsidRDefault="000F4E9D" w:rsidP="000F4E9D">
            <w:pPr>
              <w:pStyle w:val="ECEcorps"/>
              <w:jc w:val="center"/>
            </w:pPr>
            <w:r w:rsidRPr="0006787C">
              <w:rPr>
                <w:noProof/>
              </w:rPr>
              <w:drawing>
                <wp:inline distT="0" distB="0" distL="0" distR="0" wp14:anchorId="1BF8AA93" wp14:editId="2DB49275">
                  <wp:extent cx="360000" cy="360000"/>
                  <wp:effectExtent l="0" t="0" r="2540" b="2540"/>
                  <wp:docPr id="1886225580" name="Picture 1886225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Picture 47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vAlign w:val="center"/>
          </w:tcPr>
          <w:p w14:paraId="54B2B3CA" w14:textId="77777777" w:rsidR="000F4E9D" w:rsidRDefault="000F4E9D" w:rsidP="000F4E9D">
            <w:pPr>
              <w:pStyle w:val="ECEcorps"/>
            </w:pPr>
          </w:p>
        </w:tc>
      </w:tr>
    </w:tbl>
    <w:p w14:paraId="203AA970" w14:textId="77777777" w:rsidR="000F4E9D" w:rsidRDefault="000F4E9D" w:rsidP="000F4E9D">
      <w:pPr>
        <w:pStyle w:val="ECEcorps"/>
      </w:pPr>
    </w:p>
    <w:p w14:paraId="6C13581D" w14:textId="040AC472" w:rsidR="00F220F4" w:rsidRDefault="00205006" w:rsidP="00AA771C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Principe du</w:t>
      </w:r>
      <w:r w:rsidR="00F220F4">
        <w:rPr>
          <w:sz w:val="24"/>
          <w:szCs w:val="24"/>
        </w:rPr>
        <w:t xml:space="preserve"> titrage</w:t>
      </w:r>
      <w:r>
        <w:rPr>
          <w:sz w:val="24"/>
          <w:szCs w:val="24"/>
        </w:rPr>
        <w:t xml:space="preserve"> de l’acide ascorbique</w:t>
      </w:r>
    </w:p>
    <w:p w14:paraId="3D284712" w14:textId="77777777" w:rsidR="00F220F4" w:rsidRDefault="00F220F4" w:rsidP="00F220F4">
      <w:pPr>
        <w:pStyle w:val="ECEcorps"/>
      </w:pPr>
    </w:p>
    <w:p w14:paraId="107F23F8" w14:textId="7FF1858B" w:rsidR="005B74EA" w:rsidRDefault="00205006" w:rsidP="00F220F4">
      <w:pPr>
        <w:pStyle w:val="ECEcorps"/>
      </w:pPr>
      <w:r>
        <w:t>Pour déterminer la quantité d</w:t>
      </w:r>
      <w:r w:rsidR="00F220F4">
        <w:t>’acide ascorbique</w:t>
      </w:r>
      <w:r>
        <w:t xml:space="preserve"> </w:t>
      </w:r>
      <w:r w:rsidRPr="00777FAD">
        <w:t>C</w:t>
      </w:r>
      <w:r w:rsidRPr="00777FAD">
        <w:rPr>
          <w:vertAlign w:val="subscript"/>
        </w:rPr>
        <w:t>6</w:t>
      </w:r>
      <w:r w:rsidRPr="00777FAD">
        <w:t>H</w:t>
      </w:r>
      <w:r w:rsidRPr="00777FAD">
        <w:rPr>
          <w:vertAlign w:val="subscript"/>
        </w:rPr>
        <w:t>8</w:t>
      </w:r>
      <w:r w:rsidRPr="00777FAD">
        <w:t>O</w:t>
      </w:r>
      <w:r w:rsidRPr="00777FAD">
        <w:rPr>
          <w:vertAlign w:val="subscript"/>
        </w:rPr>
        <w:t>6</w:t>
      </w:r>
      <w:r>
        <w:rPr>
          <w:vertAlign w:val="subscript"/>
        </w:rPr>
        <w:t xml:space="preserve"> </w:t>
      </w:r>
      <w:r>
        <w:t>présent dans un comprimé d’UPSA</w:t>
      </w:r>
      <w:bookmarkStart w:id="5" w:name="_Hlk208817349"/>
      <w:r>
        <w:t>®</w:t>
      </w:r>
      <w:bookmarkEnd w:id="5"/>
      <w:r>
        <w:t>, on dissout ce comprimé dans de l’eau</w:t>
      </w:r>
      <w:r w:rsidR="00F220F4">
        <w:t xml:space="preserve">. </w:t>
      </w:r>
      <w:r>
        <w:t xml:space="preserve">On ne peut cependant pas titrer directement la solution d’acide ascorbique ainsi constituée. </w:t>
      </w:r>
      <w:r w:rsidR="00F220F4">
        <w:t xml:space="preserve">Afin de déterminer la quantité de matière de l’acide ascorbique </w:t>
      </w:r>
      <w:r>
        <w:t>présent</w:t>
      </w:r>
      <w:r w:rsidR="005B74EA">
        <w:t>e</w:t>
      </w:r>
      <w:r>
        <w:t xml:space="preserve"> dans la solution</w:t>
      </w:r>
      <w:r w:rsidR="005B74EA">
        <w:t>,</w:t>
      </w:r>
      <w:r>
        <w:t xml:space="preserve"> o</w:t>
      </w:r>
      <w:r w:rsidR="00F220F4">
        <w:t xml:space="preserve">n le fait réagir avec une quantité connue de diiode </w:t>
      </w:r>
      <w:r w:rsidRPr="00777FAD">
        <w:t>I</w:t>
      </w:r>
      <w:r w:rsidRPr="00777FAD">
        <w:rPr>
          <w:vertAlign w:val="subscript"/>
        </w:rPr>
        <w:t>2</w:t>
      </w:r>
      <w:r>
        <w:rPr>
          <w:vertAlign w:val="subscript"/>
        </w:rPr>
        <w:t xml:space="preserve"> </w:t>
      </w:r>
      <w:r>
        <w:t>en excès, selon l</w:t>
      </w:r>
      <w:r w:rsidR="009B3571">
        <w:t xml:space="preserve">a </w:t>
      </w:r>
      <w:r>
        <w:t>réaction</w:t>
      </w:r>
      <w:r w:rsidR="004349BD">
        <w:t xml:space="preserve"> </w:t>
      </w:r>
      <w:r w:rsidR="009B3571">
        <w:t xml:space="preserve">modélisée par l’équation </w:t>
      </w:r>
      <w:r w:rsidR="00476B66">
        <w:t>:</w:t>
      </w:r>
    </w:p>
    <w:p w14:paraId="5D81D752" w14:textId="77777777" w:rsidR="00CB5714" w:rsidRDefault="00CB5714" w:rsidP="00205006">
      <w:pPr>
        <w:pStyle w:val="ECEcorps"/>
        <w:jc w:val="center"/>
      </w:pPr>
    </w:p>
    <w:p w14:paraId="657E45BF" w14:textId="65B99D36" w:rsidR="00205006" w:rsidRPr="003563A2" w:rsidRDefault="00205006" w:rsidP="00205006">
      <w:pPr>
        <w:pStyle w:val="ECEcorps"/>
        <w:jc w:val="center"/>
        <w:rPr>
          <w:vertAlign w:val="subscript"/>
          <w:lang w:val="pt-PT"/>
        </w:rPr>
      </w:pPr>
      <w:r w:rsidRPr="003563A2">
        <w:rPr>
          <w:lang w:val="pt-PT"/>
        </w:rPr>
        <w:t>C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H</w:t>
      </w:r>
      <w:r w:rsidRPr="003563A2">
        <w:rPr>
          <w:vertAlign w:val="subscript"/>
          <w:lang w:val="pt-PT"/>
        </w:rPr>
        <w:t>8</w:t>
      </w:r>
      <w:r w:rsidRPr="003563A2">
        <w:rPr>
          <w:lang w:val="pt-PT"/>
        </w:rPr>
        <w:t>O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(aq) + I</w:t>
      </w:r>
      <w:r w:rsidRPr="003563A2">
        <w:rPr>
          <w:vertAlign w:val="subscript"/>
          <w:lang w:val="pt-PT"/>
        </w:rPr>
        <w:t>2</w:t>
      </w:r>
      <w:r w:rsidRPr="003563A2">
        <w:rPr>
          <w:lang w:val="pt-PT"/>
        </w:rPr>
        <w:t xml:space="preserve">(aq) </w:t>
      </w:r>
      <w:r w:rsidRPr="00777FAD">
        <w:sym w:font="Symbol" w:char="F0AE"/>
      </w:r>
      <w:r w:rsidRPr="003563A2">
        <w:rPr>
          <w:lang w:val="pt-PT"/>
        </w:rPr>
        <w:t xml:space="preserve"> C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H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O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(aq) + 2I</w:t>
      </w:r>
      <w:r w:rsidR="002E062C" w:rsidRPr="003563A2">
        <w:rPr>
          <w:vertAlign w:val="superscript"/>
          <w:lang w:val="pt-PT"/>
        </w:rPr>
        <w:t>–</w:t>
      </w:r>
      <w:r w:rsidRPr="003563A2">
        <w:rPr>
          <w:lang w:val="pt-PT"/>
        </w:rPr>
        <w:t>(aq)</w:t>
      </w:r>
      <w:r w:rsidRPr="003563A2">
        <w:rPr>
          <w:vertAlign w:val="subscript"/>
          <w:lang w:val="pt-PT"/>
        </w:rPr>
        <w:t xml:space="preserve"> </w:t>
      </w:r>
      <w:r w:rsidRPr="003563A2">
        <w:rPr>
          <w:lang w:val="pt-PT"/>
        </w:rPr>
        <w:t>+ 2H</w:t>
      </w:r>
      <w:r w:rsidRPr="003563A2">
        <w:rPr>
          <w:vertAlign w:val="superscript"/>
          <w:lang w:val="pt-PT"/>
        </w:rPr>
        <w:t>+</w:t>
      </w:r>
      <w:r w:rsidRPr="003563A2">
        <w:rPr>
          <w:lang w:val="pt-PT"/>
        </w:rPr>
        <w:t>(aq)</w:t>
      </w:r>
      <w:bookmarkStart w:id="6" w:name="_GoBack"/>
      <w:bookmarkEnd w:id="6"/>
      <w:r w:rsidR="00013D17" w:rsidRPr="003563A2">
        <w:rPr>
          <w:lang w:val="pt-PT"/>
        </w:rPr>
        <w:tab/>
      </w:r>
      <w:r w:rsidR="00013D17" w:rsidRPr="003563A2">
        <w:rPr>
          <w:lang w:val="pt-PT"/>
        </w:rPr>
        <w:tab/>
        <w:t>(</w:t>
      </w:r>
      <w:r w:rsidR="00203D75" w:rsidRPr="003563A2">
        <w:rPr>
          <w:b/>
          <w:lang w:val="pt-PT"/>
        </w:rPr>
        <w:t>équation E</w:t>
      </w:r>
      <w:r w:rsidR="00013D17" w:rsidRPr="003563A2">
        <w:rPr>
          <w:b/>
          <w:vertAlign w:val="subscript"/>
          <w:lang w:val="pt-PT"/>
        </w:rPr>
        <w:t>1</w:t>
      </w:r>
      <w:r w:rsidR="00013D17" w:rsidRPr="003563A2">
        <w:rPr>
          <w:lang w:val="pt-PT"/>
        </w:rPr>
        <w:t>)</w:t>
      </w:r>
    </w:p>
    <w:p w14:paraId="37CA9865" w14:textId="77777777" w:rsidR="00205006" w:rsidRPr="003563A2" w:rsidRDefault="00205006" w:rsidP="00F220F4">
      <w:pPr>
        <w:pStyle w:val="ECEcorps"/>
        <w:rPr>
          <w:lang w:val="pt-PT"/>
        </w:rPr>
      </w:pPr>
    </w:p>
    <w:p w14:paraId="4D3B652A" w14:textId="71C1EFB2" w:rsidR="00F220F4" w:rsidRPr="00F220F4" w:rsidRDefault="00205006" w:rsidP="00F220F4">
      <w:pPr>
        <w:pStyle w:val="ECEcorps"/>
      </w:pPr>
      <w:r>
        <w:t>O</w:t>
      </w:r>
      <w:r w:rsidR="00F220F4">
        <w:t xml:space="preserve">n titre </w:t>
      </w:r>
      <w:r>
        <w:t xml:space="preserve">ensuite </w:t>
      </w:r>
      <w:r w:rsidR="00F220F4">
        <w:t>le</w:t>
      </w:r>
      <w:r>
        <w:t xml:space="preserve"> diiode n’ayant pas réagi par une solution de thiosulfate de sodium (Na</w:t>
      </w:r>
      <w:r w:rsidRPr="00145422">
        <w:rPr>
          <w:vertAlign w:val="superscript"/>
        </w:rPr>
        <w:t>+</w:t>
      </w:r>
      <w:r w:rsidR="00145422" w:rsidRPr="002E062C">
        <w:t>(</w:t>
      </w:r>
      <w:proofErr w:type="spellStart"/>
      <w:r w:rsidR="00145422" w:rsidRPr="002E062C">
        <w:t>aq</w:t>
      </w:r>
      <w:proofErr w:type="spellEnd"/>
      <w:r w:rsidR="00145422" w:rsidRPr="002E062C">
        <w:t>)</w:t>
      </w:r>
      <w:r w:rsidR="00B1753D">
        <w:t xml:space="preserve"> + S</w:t>
      </w:r>
      <w:r w:rsidR="00B1753D" w:rsidRPr="00145422">
        <w:rPr>
          <w:vertAlign w:val="subscript"/>
        </w:rPr>
        <w:t>2</w:t>
      </w:r>
      <w:r w:rsidR="00B1753D">
        <w:t>O</w:t>
      </w:r>
      <w:r w:rsidR="00B1753D" w:rsidRPr="00145422">
        <w:rPr>
          <w:vertAlign w:val="subscript"/>
        </w:rPr>
        <w:t>3</w:t>
      </w:r>
      <w:r w:rsidR="00B1753D" w:rsidRPr="00145422">
        <w:rPr>
          <w:vertAlign w:val="superscript"/>
        </w:rPr>
        <w:t>2</w:t>
      </w:r>
      <w:r w:rsidR="00B1753D">
        <w:rPr>
          <w:vertAlign w:val="superscript"/>
        </w:rPr>
        <w:t>–</w:t>
      </w:r>
      <w:r w:rsidR="00B1753D" w:rsidRPr="002E062C">
        <w:t>(</w:t>
      </w:r>
      <w:proofErr w:type="spellStart"/>
      <w:r w:rsidR="00B1753D" w:rsidRPr="002E062C">
        <w:t>aq</w:t>
      </w:r>
      <w:proofErr w:type="spellEnd"/>
      <w:r w:rsidR="00B1753D" w:rsidRPr="002E062C">
        <w:t>)</w:t>
      </w:r>
      <w:r w:rsidR="00476B66">
        <w:t>) de concentration connue. O</w:t>
      </w:r>
      <w:r>
        <w:t xml:space="preserve">n peut ainsi </w:t>
      </w:r>
      <w:r w:rsidR="00020042" w:rsidRPr="00020042">
        <w:t xml:space="preserve">déterminer </w:t>
      </w:r>
      <w:r w:rsidR="00F220F4">
        <w:t>la quantité d’acide ascorbique</w:t>
      </w:r>
      <w:r>
        <w:t xml:space="preserve"> </w:t>
      </w:r>
      <w:r w:rsidR="00020042" w:rsidRPr="00020042">
        <w:t>initialement contenue dans le comprimé</w:t>
      </w:r>
      <w:r>
        <w:t>.</w:t>
      </w:r>
      <w:r w:rsidR="00F220F4">
        <w:t xml:space="preserve"> </w:t>
      </w:r>
    </w:p>
    <w:p w14:paraId="7AA4DE1C" w14:textId="77777777" w:rsidR="00F220F4" w:rsidRDefault="00F220F4" w:rsidP="00AA771C">
      <w:pPr>
        <w:pStyle w:val="ECEtitre"/>
        <w:rPr>
          <w:sz w:val="24"/>
          <w:szCs w:val="24"/>
        </w:rPr>
      </w:pPr>
    </w:p>
    <w:p w14:paraId="35927ECD" w14:textId="39A397A2" w:rsidR="00205006" w:rsidRDefault="00476B66" w:rsidP="00205006">
      <w:pPr>
        <w:pStyle w:val="ECEcorps"/>
      </w:pPr>
      <w:r>
        <w:t>Dans ces conditions</w:t>
      </w:r>
      <w:r w:rsidR="00020042">
        <w:t>,</w:t>
      </w:r>
      <w:r>
        <w:t xml:space="preserve"> l</w:t>
      </w:r>
      <w:r w:rsidR="00205006">
        <w:t xml:space="preserve">a quantité de matière </w:t>
      </w:r>
      <w:r w:rsidR="00020042" w:rsidRPr="00020042">
        <w:t xml:space="preserve">d’acide ascorbique présente </w:t>
      </w:r>
      <w:r w:rsidR="00205006">
        <w:t xml:space="preserve">dans le comprimé </w:t>
      </w:r>
      <w:r w:rsidR="00020042" w:rsidRPr="00020042">
        <w:t>s’obtient de la façon suivante :</w:t>
      </w:r>
    </w:p>
    <w:p w14:paraId="704AE658" w14:textId="7E70548E" w:rsidR="000F072B" w:rsidRPr="003563A2" w:rsidRDefault="00205006" w:rsidP="00333FFA">
      <w:pPr>
        <w:pStyle w:val="ECEcorps"/>
        <w:jc w:val="center"/>
        <w:rPr>
          <w:lang w:val="pt-PT"/>
        </w:rPr>
      </w:pPr>
      <w:r w:rsidRPr="003563A2">
        <w:rPr>
          <w:i/>
          <w:lang w:val="pt-PT"/>
        </w:rPr>
        <w:t>n</w:t>
      </w:r>
      <w:r w:rsidRPr="003563A2">
        <w:rPr>
          <w:lang w:val="pt-PT"/>
        </w:rPr>
        <w:t>(C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>H</w:t>
      </w:r>
      <w:r w:rsidRPr="003563A2">
        <w:rPr>
          <w:vertAlign w:val="subscript"/>
          <w:lang w:val="pt-PT"/>
        </w:rPr>
        <w:t>8</w:t>
      </w:r>
      <w:r w:rsidRPr="003563A2">
        <w:rPr>
          <w:lang w:val="pt-PT"/>
        </w:rPr>
        <w:t>O</w:t>
      </w:r>
      <w:r w:rsidRPr="003563A2">
        <w:rPr>
          <w:vertAlign w:val="subscript"/>
          <w:lang w:val="pt-PT"/>
        </w:rPr>
        <w:t>6</w:t>
      </w:r>
      <w:r w:rsidRPr="003563A2">
        <w:rPr>
          <w:lang w:val="pt-PT"/>
        </w:rPr>
        <w:t xml:space="preserve">) = </w:t>
      </w:r>
      <w:bookmarkStart w:id="7" w:name="_Hlk207572102"/>
      <w:r w:rsidRPr="003563A2">
        <w:rPr>
          <w:i/>
          <w:lang w:val="pt-PT"/>
        </w:rPr>
        <w:t>n</w:t>
      </w:r>
      <w:r w:rsidRPr="003563A2">
        <w:rPr>
          <w:lang w:val="pt-PT"/>
        </w:rPr>
        <w:t>(I</w:t>
      </w:r>
      <w:r w:rsidRPr="003563A2">
        <w:rPr>
          <w:vertAlign w:val="subscript"/>
          <w:lang w:val="pt-PT"/>
        </w:rPr>
        <w:t>2</w:t>
      </w:r>
      <w:r w:rsidRPr="003563A2">
        <w:rPr>
          <w:lang w:val="pt-PT"/>
        </w:rPr>
        <w:t>)</w:t>
      </w:r>
      <w:r w:rsidRPr="003563A2">
        <w:rPr>
          <w:vertAlign w:val="subscript"/>
          <w:lang w:val="pt-PT"/>
        </w:rPr>
        <w:t>intro</w:t>
      </w:r>
      <w:r w:rsidRPr="003563A2">
        <w:rPr>
          <w:lang w:val="pt-PT"/>
        </w:rPr>
        <w:t xml:space="preserve"> </w:t>
      </w:r>
      <w:r w:rsidR="005B74EA" w:rsidRPr="003563A2">
        <w:rPr>
          <w:lang w:val="pt-PT"/>
        </w:rPr>
        <w:t>–</w:t>
      </w:r>
      <w:r w:rsidRPr="003563A2">
        <w:rPr>
          <w:sz w:val="22"/>
          <w:szCs w:val="22"/>
          <w:lang w:val="pt-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  <w:lang w:val="pt-PT"/>
              </w:rPr>
              <m:t>n</m:t>
            </m:r>
            <m:r>
              <m:rPr>
                <m:nor/>
              </m:rPr>
              <w:rPr>
                <w:sz w:val="24"/>
                <w:szCs w:val="24"/>
                <w:lang w:val="pt-PT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4"/>
                    <w:vertAlign w:val="subscript"/>
                  </w:rPr>
                </m:ctrlPr>
              </m:sSubPr>
              <m:e>
                <m:r>
                  <m:rPr>
                    <m:nor/>
                  </m:rPr>
                  <w:rPr>
                    <w:sz w:val="36"/>
                    <w:szCs w:val="24"/>
                    <w:vertAlign w:val="subscript"/>
                    <w:lang w:val="pt-PT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sz w:val="36"/>
                    <w:szCs w:val="24"/>
                    <w:vertAlign w:val="subscript"/>
                    <w:lang w:val="pt-PT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sz w:val="24"/>
                    <w:szCs w:val="24"/>
                    <w:lang w:val="pt-PT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  <w:lang w:val="pt-PT"/>
                  </w:rPr>
                  <m:t>3</m:t>
                </m:r>
              </m:sub>
              <m:sup>
                <m:r>
                  <m:rPr>
                    <m:nor/>
                  </m:rPr>
                  <w:rPr>
                    <w:sz w:val="24"/>
                    <w:szCs w:val="24"/>
                    <w:lang w:val="pt-PT"/>
                  </w:rPr>
                  <m:t>2</m:t>
                </m:r>
                <m:r>
                  <m:rPr>
                    <m:nor/>
                  </m:rPr>
                  <w:rPr>
                    <w:sz w:val="24"/>
                    <w:szCs w:val="24"/>
                    <w:vertAlign w:val="superscript"/>
                    <w:lang w:val="pt-PT"/>
                  </w:rPr>
                  <m:t>–</m:t>
                </m:r>
              </m:sup>
            </m:sSubSup>
            <m:r>
              <m:rPr>
                <m:nor/>
              </m:rPr>
              <w:rPr>
                <w:sz w:val="24"/>
                <w:szCs w:val="24"/>
                <w:lang w:val="pt-PT"/>
              </w:rPr>
              <m:t>)</m:t>
            </m:r>
          </m:num>
          <m:den>
            <m:r>
              <m:rPr>
                <m:nor/>
              </m:rPr>
              <w:rPr>
                <w:sz w:val="24"/>
                <w:szCs w:val="24"/>
                <w:lang w:val="pt-PT"/>
              </w:rPr>
              <m:t>2</m:t>
            </m:r>
          </m:den>
        </m:f>
      </m:oMath>
      <w:bookmarkEnd w:id="7"/>
    </w:p>
    <w:p w14:paraId="0515D1BE" w14:textId="0E16A56D" w:rsidR="00205006" w:rsidRPr="00BD61FC" w:rsidRDefault="00BD61FC" w:rsidP="00BD61FC">
      <w:pPr>
        <w:pStyle w:val="ECEcorps"/>
      </w:pPr>
      <w:r w:rsidRPr="00BD61FC">
        <w:t xml:space="preserve">Le </w:t>
      </w:r>
      <w:proofErr w:type="spellStart"/>
      <w:r w:rsidRPr="00BD61FC">
        <w:t>di</w:t>
      </w:r>
      <w:r w:rsidR="000F0156">
        <w:t>i</w:t>
      </w:r>
      <w:r w:rsidRPr="00BD61FC">
        <w:t>ode</w:t>
      </w:r>
      <w:proofErr w:type="spellEnd"/>
      <w:r w:rsidRPr="00BD61FC">
        <w:t xml:space="preserve"> a une couleur caractéristique jaune tandis que les autres espèces chimiques mises en jeu sont incolores.</w:t>
      </w:r>
    </w:p>
    <w:p w14:paraId="53492EF3" w14:textId="77777777" w:rsidR="00BD61FC" w:rsidRPr="00BD61FC" w:rsidRDefault="00BD61FC" w:rsidP="00BD61FC">
      <w:pPr>
        <w:pStyle w:val="ECEcorps"/>
        <w:rPr>
          <w:highlight w:val="yellow"/>
        </w:rPr>
      </w:pPr>
    </w:p>
    <w:p w14:paraId="58BA1A1B" w14:textId="6A0710E9" w:rsidR="006E23D5" w:rsidRPr="006E23D5" w:rsidRDefault="006E23D5" w:rsidP="006E23D5">
      <w:pPr>
        <w:pStyle w:val="ECEcorps"/>
        <w:rPr>
          <w:b/>
          <w:sz w:val="24"/>
          <w:szCs w:val="24"/>
          <w:u w:val="single"/>
        </w:rPr>
      </w:pPr>
      <w:r w:rsidRPr="006E23D5">
        <w:rPr>
          <w:b/>
          <w:sz w:val="24"/>
          <w:szCs w:val="24"/>
          <w:u w:val="single"/>
        </w:rPr>
        <w:t>Titrage colorimétrique du diiode</w:t>
      </w:r>
    </w:p>
    <w:p w14:paraId="768867E7" w14:textId="77777777" w:rsidR="006E23D5" w:rsidRPr="006E23D5" w:rsidRDefault="006E23D5" w:rsidP="006E23D5">
      <w:pPr>
        <w:pStyle w:val="ECEcorps"/>
        <w:rPr>
          <w:b/>
          <w:sz w:val="24"/>
          <w:szCs w:val="24"/>
          <w:u w:val="single"/>
        </w:rPr>
      </w:pPr>
    </w:p>
    <w:p w14:paraId="04E6C0EB" w14:textId="0CC51A01" w:rsidR="00020042" w:rsidRDefault="00020042" w:rsidP="00020042">
      <w:pPr>
        <w:pStyle w:val="ECEcorps"/>
      </w:pPr>
      <w:r w:rsidRPr="00020042">
        <w:t>Lors d’u</w:t>
      </w:r>
      <w:r w:rsidR="00BD61FC">
        <w:t>n titrage colorimétrique avec du</w:t>
      </w:r>
      <w:r w:rsidRPr="00020042">
        <w:t xml:space="preserve"> diiode, le passage de la couleur jaune</w:t>
      </w:r>
      <w:r w:rsidR="00BD61FC">
        <w:t xml:space="preserve"> caractéristique du diiode</w:t>
      </w:r>
      <w:r w:rsidRPr="00020042">
        <w:t xml:space="preserve"> à l’in</w:t>
      </w:r>
      <w:r w:rsidR="00BD61FC">
        <w:t>colore est peu net. En présence même très faible</w:t>
      </w:r>
      <w:r w:rsidRPr="00020042">
        <w:t xml:space="preserve"> de diiode, l’empois d’amidon (ou </w:t>
      </w:r>
      <w:r w:rsidR="000F0156">
        <w:t xml:space="preserve">de </w:t>
      </w:r>
      <w:proofErr w:type="spellStart"/>
      <w:r w:rsidRPr="00020042">
        <w:t>thiodène</w:t>
      </w:r>
      <w:proofErr w:type="spellEnd"/>
      <w:r w:rsidRPr="00020042">
        <w:t xml:space="preserve">) colore la solution aqueuse en bleu foncé. Pour rendre l’équivalence plus visible, on ajoute donc </w:t>
      </w:r>
      <w:r w:rsidR="000F0156">
        <w:t xml:space="preserve">de </w:t>
      </w:r>
      <w:r w:rsidRPr="00020042">
        <w:t xml:space="preserve">l’empois d’amidon : la solution devient </w:t>
      </w:r>
      <w:proofErr w:type="gramStart"/>
      <w:r w:rsidRPr="00020042">
        <w:t>bleu</w:t>
      </w:r>
      <w:proofErr w:type="gramEnd"/>
      <w:r w:rsidRPr="00020042">
        <w:t xml:space="preserve"> foncé, puis s’éclaircit progressivement jusqu’à l’incolore. L’indicateur est introduit lorsque la solution de diiode commence à </w:t>
      </w:r>
      <w:r w:rsidRPr="005B74EA">
        <w:t>s’éclaircir</w:t>
      </w:r>
      <w:r w:rsidRPr="00020042">
        <w:t>.</w:t>
      </w:r>
    </w:p>
    <w:p w14:paraId="0711DC7C" w14:textId="77777777" w:rsidR="0042179E" w:rsidRDefault="0042179E" w:rsidP="00020042">
      <w:pPr>
        <w:pStyle w:val="ECEcorps"/>
      </w:pPr>
    </w:p>
    <w:p w14:paraId="31FCD478" w14:textId="77777777" w:rsidR="0095334B" w:rsidRDefault="0095334B" w:rsidP="00020042">
      <w:pPr>
        <w:pStyle w:val="ECEcorps"/>
      </w:pPr>
    </w:p>
    <w:p w14:paraId="2ED3D9A1" w14:textId="77777777" w:rsidR="0042179E" w:rsidRPr="00020042" w:rsidRDefault="0042179E" w:rsidP="00020042">
      <w:pPr>
        <w:pStyle w:val="ECEcorps"/>
      </w:pPr>
    </w:p>
    <w:p w14:paraId="332A68BC" w14:textId="77777777" w:rsidR="00AC2D9C" w:rsidRPr="00136091" w:rsidRDefault="00AC2D9C" w:rsidP="00AC2D9C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D00BDE0" w14:textId="77777777" w:rsidR="00AC2D9C" w:rsidRPr="00AC2D9C" w:rsidRDefault="00AC2D9C" w:rsidP="00AC2D9C">
      <w:pPr>
        <w:autoSpaceDE w:val="0"/>
        <w:autoSpaceDN w:val="0"/>
        <w:adjustRightInd w:val="0"/>
        <w:rPr>
          <w:b/>
          <w:bCs/>
          <w:color w:val="000000" w:themeColor="text1"/>
          <w:u w:val="single"/>
        </w:rPr>
      </w:pPr>
    </w:p>
    <w:p w14:paraId="20812274" w14:textId="77777777" w:rsidR="00AC2D9C" w:rsidRPr="00476B66" w:rsidRDefault="00AC2D9C" w:rsidP="00AC2D9C">
      <w:pPr>
        <w:pStyle w:val="ECEpartie"/>
        <w:numPr>
          <w:ilvl w:val="0"/>
          <w:numId w:val="2"/>
        </w:numPr>
        <w:rPr>
          <w:b w:val="0"/>
          <w:color w:val="000000" w:themeColor="text1"/>
        </w:rPr>
      </w:pPr>
      <w:bookmarkStart w:id="8" w:name="_Toc482638814"/>
      <w:bookmarkStart w:id="9" w:name="_Toc500182691"/>
      <w:r>
        <w:t xml:space="preserve">Préparation de la solution à titrer </w:t>
      </w:r>
      <w:r w:rsidRPr="00476B66">
        <w:rPr>
          <w:b w:val="0"/>
          <w:bCs/>
          <w:color w:val="000000" w:themeColor="text1"/>
        </w:rPr>
        <w:t>(</w:t>
      </w:r>
      <w:r w:rsidRPr="00476B66">
        <w:rPr>
          <w:b w:val="0"/>
          <w:color w:val="000000" w:themeColor="text1"/>
        </w:rPr>
        <w:t>20</w:t>
      </w:r>
      <w:r w:rsidRPr="00476B66">
        <w:rPr>
          <w:b w:val="0"/>
          <w:bCs/>
          <w:color w:val="000000" w:themeColor="text1"/>
        </w:rPr>
        <w:t xml:space="preserve"> minutes conseillées)</w:t>
      </w:r>
      <w:bookmarkEnd w:id="8"/>
      <w:bookmarkEnd w:id="9"/>
    </w:p>
    <w:p w14:paraId="6EBC8917" w14:textId="77777777" w:rsidR="00373D7E" w:rsidRDefault="00373D7E" w:rsidP="00AC2D9C">
      <w:pPr>
        <w:pStyle w:val="ECEcorps"/>
      </w:pPr>
    </w:p>
    <w:p w14:paraId="369C8FAB" w14:textId="74DB3032" w:rsidR="00373D7E" w:rsidRDefault="00373D7E" w:rsidP="00AC2D9C">
      <w:pPr>
        <w:pStyle w:val="ECEcorps"/>
      </w:pPr>
      <w:r>
        <w:t>Protocole de préparation de la solution à titrer</w:t>
      </w:r>
      <w:r w:rsidR="002E062C">
        <w:t xml:space="preserve"> </w:t>
      </w:r>
      <w:r>
        <w:t>:</w:t>
      </w:r>
    </w:p>
    <w:p w14:paraId="11FD8331" w14:textId="77777777" w:rsidR="00203D75" w:rsidRDefault="00203D75" w:rsidP="00AC2D9C">
      <w:pPr>
        <w:pStyle w:val="ECEcorps"/>
      </w:pPr>
    </w:p>
    <w:p w14:paraId="038005D2" w14:textId="790D2416" w:rsidR="00A063C0" w:rsidRDefault="00476B66" w:rsidP="00E157B7">
      <w:pPr>
        <w:pStyle w:val="ECEcorps"/>
        <w:numPr>
          <w:ilvl w:val="0"/>
          <w:numId w:val="4"/>
        </w:numPr>
      </w:pPr>
      <w:r>
        <w:t>É</w:t>
      </w:r>
      <w:r w:rsidR="00A063C0">
        <w:t>craser un comprimé de vi</w:t>
      </w:r>
      <w:r>
        <w:t>tamine C dans un mortier</w:t>
      </w:r>
      <w:r w:rsidR="004349BD">
        <w:t xml:space="preserve"> </w:t>
      </w:r>
      <w:r w:rsidR="00E157B7" w:rsidRPr="00E157B7">
        <w:t>à l’aide d’un pilon</w:t>
      </w:r>
      <w:r>
        <w:t>. T</w:t>
      </w:r>
      <w:r w:rsidR="00A063C0">
        <w:t xml:space="preserve">ransférer </w:t>
      </w:r>
      <w:r w:rsidR="00E157B7" w:rsidRPr="00E157B7">
        <w:t xml:space="preserve">la poudre </w:t>
      </w:r>
      <w:r w:rsidR="00BD61FC">
        <w:t xml:space="preserve">ainsi obtenue </w:t>
      </w:r>
      <w:r w:rsidR="00A063C0">
        <w:t>dan</w:t>
      </w:r>
      <w:r>
        <w:t xml:space="preserve">s une fiole jaugée de 100,0 mL </w:t>
      </w:r>
      <w:r w:rsidR="00E157B7" w:rsidRPr="00E157B7">
        <w:t>en rinçant soigneusement le mortier afin de récupérer tout le comprimé</w:t>
      </w:r>
      <w:r w:rsidR="00A063C0">
        <w:t>.</w:t>
      </w:r>
    </w:p>
    <w:p w14:paraId="487FEB3B" w14:textId="25E14D78" w:rsidR="00A063C0" w:rsidRDefault="00E157B7" w:rsidP="00E157B7">
      <w:pPr>
        <w:pStyle w:val="ECEcorps"/>
        <w:numPr>
          <w:ilvl w:val="0"/>
          <w:numId w:val="4"/>
        </w:numPr>
      </w:pPr>
      <w:r w:rsidRPr="00E157B7">
        <w:t xml:space="preserve">Compléter la fiole </w:t>
      </w:r>
      <w:r w:rsidR="00B1753D">
        <w:t xml:space="preserve">jaugée </w:t>
      </w:r>
      <w:r w:rsidRPr="00E157B7">
        <w:t>avec de l’eau distillée jusqu’au trait de jauge</w:t>
      </w:r>
      <w:r w:rsidR="00BD61FC">
        <w:t xml:space="preserve"> et homogénéiser la solution</w:t>
      </w:r>
      <w:r w:rsidR="00A063C0">
        <w:t>.</w:t>
      </w:r>
    </w:p>
    <w:p w14:paraId="5CE35AED" w14:textId="6E42CD8D" w:rsidR="00476B66" w:rsidRPr="006E23D5" w:rsidRDefault="00AC2D9C" w:rsidP="00E157B7">
      <w:pPr>
        <w:pStyle w:val="ECEcorps"/>
        <w:numPr>
          <w:ilvl w:val="0"/>
          <w:numId w:val="4"/>
        </w:numPr>
      </w:pPr>
      <w:r>
        <w:t xml:space="preserve">Prélever 10,0 mL de la solution </w:t>
      </w:r>
      <w:r w:rsidR="00A063C0">
        <w:t xml:space="preserve">préparée </w:t>
      </w:r>
      <w:r>
        <w:t>et ajouter 5</w:t>
      </w:r>
      <w:r w:rsidR="00E32510">
        <w:t>0,0 mL d’une solution de dii</w:t>
      </w:r>
      <w:r w:rsidR="00476B66">
        <w:t xml:space="preserve">ode </w:t>
      </w:r>
      <w:r w:rsidR="00231D5B">
        <w:t>de</w:t>
      </w:r>
      <w:r w:rsidR="00476B66">
        <w:t xml:space="preserve"> concentration</w:t>
      </w:r>
      <w:r w:rsidR="00424C79">
        <w:t xml:space="preserve">                       </w:t>
      </w:r>
      <w:r w:rsidR="004349BD" w:rsidRPr="004349BD">
        <w:rPr>
          <w:i/>
        </w:rPr>
        <w:t>C</w:t>
      </w:r>
      <w:r w:rsidR="00333FFA" w:rsidRPr="004349BD">
        <w:rPr>
          <w:iCs/>
          <w:vertAlign w:val="subscript"/>
        </w:rPr>
        <w:t>1</w:t>
      </w:r>
      <w:r w:rsidR="002E062C" w:rsidRPr="004349BD">
        <w:rPr>
          <w:iCs/>
          <w:vertAlign w:val="subscript"/>
        </w:rPr>
        <w:t xml:space="preserve"> </w:t>
      </w:r>
      <w:r w:rsidR="00476B66">
        <w:t>=</w:t>
      </w:r>
      <w:r w:rsidR="002E062C">
        <w:t xml:space="preserve"> </w:t>
      </w:r>
      <w:r w:rsidR="00476B66">
        <w:t>2,0</w:t>
      </w:r>
      <w:r w:rsidR="000525FA">
        <w:t xml:space="preserve"> </w:t>
      </w:r>
      <w:r w:rsidR="000525FA" w:rsidRPr="000525FA">
        <w:t xml:space="preserve">× </w:t>
      </w:r>
      <w:r w:rsidR="00476B66">
        <w:t>10</w:t>
      </w:r>
      <w:r w:rsidR="002E062C" w:rsidRPr="004349BD">
        <w:rPr>
          <w:vertAlign w:val="superscript"/>
        </w:rPr>
        <w:t>–</w:t>
      </w:r>
      <w:r w:rsidR="00476B66" w:rsidRPr="004349BD">
        <w:rPr>
          <w:vertAlign w:val="superscript"/>
        </w:rPr>
        <w:t>2</w:t>
      </w:r>
      <w:r w:rsidR="00476B66">
        <w:t xml:space="preserve"> </w:t>
      </w:r>
      <w:bookmarkStart w:id="10" w:name="_Hlk208262488"/>
      <w:proofErr w:type="spellStart"/>
      <w:proofErr w:type="gramStart"/>
      <w:r w:rsidR="00476B66">
        <w:t>mol.L</w:t>
      </w:r>
      <w:proofErr w:type="spellEnd"/>
      <w:proofErr w:type="gramEnd"/>
      <w:r w:rsidR="002E062C" w:rsidRPr="004349BD">
        <w:rPr>
          <w:vertAlign w:val="superscript"/>
        </w:rPr>
        <w:t>–</w:t>
      </w:r>
      <w:r w:rsidR="00476B66" w:rsidRPr="004349BD">
        <w:rPr>
          <w:vertAlign w:val="superscript"/>
        </w:rPr>
        <w:t>1</w:t>
      </w:r>
      <w:r w:rsidR="006E23D5">
        <w:t xml:space="preserve"> </w:t>
      </w:r>
      <w:bookmarkEnd w:id="10"/>
      <w:r w:rsidR="006E23D5">
        <w:t>en choisissant la verrerie la plus adaptée.</w:t>
      </w:r>
    </w:p>
    <w:p w14:paraId="3889F59D" w14:textId="4EE323B8" w:rsidR="000B16E4" w:rsidRPr="000B18C2" w:rsidRDefault="00D54AEC" w:rsidP="00AC2D9C">
      <w:pPr>
        <w:pStyle w:val="ECEcorps"/>
        <w:numPr>
          <w:ilvl w:val="0"/>
          <w:numId w:val="4"/>
        </w:numPr>
      </w:pPr>
      <w:r w:rsidRPr="00D54AEC">
        <w:t xml:space="preserve">Laisser la réaction se poursuivre pendant environ </w:t>
      </w:r>
      <w:proofErr w:type="spellStart"/>
      <w:r w:rsidRPr="00D54AEC">
        <w:t>Δ</w:t>
      </w:r>
      <w:r w:rsidRPr="00D54AEC">
        <w:rPr>
          <w:i/>
          <w:iCs/>
        </w:rPr>
        <w:t>t</w:t>
      </w:r>
      <w:proofErr w:type="spellEnd"/>
      <w:r w:rsidRPr="00D54AEC">
        <w:t xml:space="preserve"> = 15 minutes, le temps que le diiode et l’acide ascorbique </w:t>
      </w:r>
      <w:r w:rsidR="003563A2">
        <w:t>réa</w:t>
      </w:r>
      <w:r w:rsidRPr="00D54AEC">
        <w:t>gissent.</w:t>
      </w:r>
    </w:p>
    <w:p w14:paraId="35B671BC" w14:textId="2511970C" w:rsidR="00B971A6" w:rsidRDefault="00B971A6" w:rsidP="00AC2D9C">
      <w:pPr>
        <w:pStyle w:val="ECEcorps"/>
      </w:pPr>
    </w:p>
    <w:p w14:paraId="2EDC7D61" w14:textId="30A039AD" w:rsidR="000F0156" w:rsidRDefault="000F0156" w:rsidP="00AC2D9C">
      <w:pPr>
        <w:pStyle w:val="ECEcorps"/>
      </w:pPr>
      <w:r>
        <w:t>Mettre en œuvre ce protocole de préparation de la solution.</w:t>
      </w:r>
    </w:p>
    <w:p w14:paraId="6622FB34" w14:textId="77777777" w:rsidR="000F0156" w:rsidRPr="00AA771C" w:rsidRDefault="000F0156" w:rsidP="00AC2D9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C2D9C" w14:paraId="50C4F7C1" w14:textId="77777777" w:rsidTr="00AC2D9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9136ED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F50F6C" w14:textId="77777777" w:rsidR="00AC2D9C" w:rsidRDefault="00AC2D9C" w:rsidP="00AC2D9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D5D5650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C2D9C" w14:paraId="37C84868" w14:textId="77777777" w:rsidTr="00AC2D9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6185E6" w14:textId="77777777" w:rsidR="00AC2D9C" w:rsidRPr="00592F79" w:rsidRDefault="00AC2D9C" w:rsidP="00AC2D9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B5A99C7" w14:textId="77777777" w:rsidR="00AC2D9C" w:rsidRPr="0009288D" w:rsidRDefault="00AC2D9C" w:rsidP="00AC2D9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CA3D3C" w14:textId="77777777" w:rsidR="00AC2D9C" w:rsidRDefault="00AC2D9C" w:rsidP="00AC2D9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9C0DC1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8E8677" w14:textId="77777777" w:rsidR="00AC2D9C" w:rsidRPr="00D742A9" w:rsidRDefault="00AC2D9C" w:rsidP="00AC2D9C">
      <w:pPr>
        <w:pStyle w:val="ECEcorps"/>
      </w:pPr>
    </w:p>
    <w:p w14:paraId="52A45ADC" w14:textId="77777777" w:rsidR="000B18C2" w:rsidRDefault="000B18C2" w:rsidP="000B18C2">
      <w:pPr>
        <w:jc w:val="center"/>
        <w:rPr>
          <w:b/>
        </w:rPr>
      </w:pPr>
      <w:bookmarkStart w:id="11" w:name="_Toc482638815"/>
      <w:bookmarkStart w:id="12" w:name="_Toc500182692"/>
    </w:p>
    <w:p w14:paraId="063E9D8A" w14:textId="4C0660E8" w:rsidR="000B18C2" w:rsidRPr="00627AF4" w:rsidRDefault="000B18C2" w:rsidP="000B18C2">
      <w:pPr>
        <w:jc w:val="center"/>
        <w:rPr>
          <w:b/>
        </w:rPr>
      </w:pPr>
      <w:r w:rsidRPr="001B1312">
        <w:rPr>
          <w:b/>
        </w:rPr>
        <w:t xml:space="preserve">Pendant </w:t>
      </w:r>
      <w:r>
        <w:rPr>
          <w:b/>
        </w:rPr>
        <w:t>la transformation chimique entre le diiode et l’acide ascorbique</w:t>
      </w:r>
      <w:r w:rsidR="00C55893">
        <w:rPr>
          <w:b/>
        </w:rPr>
        <w:t>,</w:t>
      </w:r>
      <w:r>
        <w:rPr>
          <w:b/>
        </w:rPr>
        <w:t xml:space="preserve"> </w:t>
      </w:r>
      <w:r w:rsidRPr="001B1312">
        <w:rPr>
          <w:b/>
        </w:rPr>
        <w:t xml:space="preserve">traiter </w:t>
      </w:r>
      <w:r>
        <w:rPr>
          <w:b/>
        </w:rPr>
        <w:t>la préparation du titrage et les questions 2.1</w:t>
      </w:r>
      <w:r w:rsidR="00203D75">
        <w:rPr>
          <w:b/>
        </w:rPr>
        <w:t xml:space="preserve"> et</w:t>
      </w:r>
      <w:r>
        <w:rPr>
          <w:b/>
        </w:rPr>
        <w:t xml:space="preserve"> 3.1.</w:t>
      </w:r>
    </w:p>
    <w:p w14:paraId="75A83FCC" w14:textId="77777777" w:rsidR="000B18C2" w:rsidRPr="000B18C2" w:rsidRDefault="000B18C2" w:rsidP="000B18C2">
      <w:pPr>
        <w:pStyle w:val="ECEcorps"/>
      </w:pPr>
    </w:p>
    <w:p w14:paraId="0BC9550E" w14:textId="36E86C51" w:rsidR="00AC2D9C" w:rsidRPr="003C13F9" w:rsidRDefault="00327827" w:rsidP="00AC2D9C">
      <w:pPr>
        <w:pStyle w:val="ECEpartie"/>
      </w:pPr>
      <w:r>
        <w:t>Mise en œuvre du t</w:t>
      </w:r>
      <w:r w:rsidR="00373D7E">
        <w:t xml:space="preserve">itrage du </w:t>
      </w:r>
      <w:proofErr w:type="spellStart"/>
      <w:r w:rsidR="00373D7E">
        <w:t>diiode</w:t>
      </w:r>
      <w:proofErr w:type="spellEnd"/>
      <w:r w:rsidR="00373D7E">
        <w:t xml:space="preserve"> restant </w:t>
      </w:r>
      <w:r w:rsidR="00AC2D9C" w:rsidRPr="00FF78A1">
        <w:rPr>
          <w:b w:val="0"/>
          <w:bCs/>
        </w:rPr>
        <w:t>(</w:t>
      </w:r>
      <w:r w:rsidR="00AC2D9C">
        <w:rPr>
          <w:b w:val="0"/>
          <w:bCs/>
        </w:rPr>
        <w:t>20</w:t>
      </w:r>
      <w:r w:rsidR="00AC2D9C" w:rsidRPr="00FF78A1">
        <w:rPr>
          <w:b w:val="0"/>
          <w:bCs/>
        </w:rPr>
        <w:t xml:space="preserve"> minutes conseillées)</w:t>
      </w:r>
      <w:bookmarkEnd w:id="11"/>
      <w:bookmarkEnd w:id="12"/>
    </w:p>
    <w:p w14:paraId="45D0BB0C" w14:textId="77777777" w:rsidR="00AC2D9C" w:rsidRDefault="00AC2D9C" w:rsidP="00AC2D9C">
      <w:pPr>
        <w:pStyle w:val="ECEcorps"/>
        <w:rPr>
          <w:rFonts w:eastAsia="Arial Unicode MS"/>
        </w:rPr>
      </w:pPr>
    </w:p>
    <w:p w14:paraId="17F5E4E0" w14:textId="62DB0236" w:rsidR="00205006" w:rsidRDefault="00AC2D9C" w:rsidP="00AC2D9C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</w:t>
      </w:r>
      <w:r w:rsidR="00373D7E">
        <w:rPr>
          <w:rFonts w:eastAsia="Arial Unicode MS"/>
        </w:rPr>
        <w:t>ti</w:t>
      </w:r>
      <w:r w:rsidR="00205006">
        <w:rPr>
          <w:rFonts w:eastAsia="Arial Unicode MS"/>
        </w:rPr>
        <w:t>tre le diiode n’ayant pas réagi</w:t>
      </w:r>
      <w:r w:rsidR="00373D7E">
        <w:rPr>
          <w:rFonts w:eastAsia="Arial Unicode MS"/>
        </w:rPr>
        <w:t xml:space="preserve"> avec l’acide ascorbique par </w:t>
      </w:r>
      <w:r w:rsidR="00D54AEC">
        <w:rPr>
          <w:rFonts w:eastAsia="Arial Unicode MS"/>
        </w:rPr>
        <w:t>une</w:t>
      </w:r>
      <w:r w:rsidR="00373D7E" w:rsidRPr="006E23D5">
        <w:rPr>
          <w:rFonts w:eastAsia="Arial Unicode MS"/>
        </w:rPr>
        <w:t xml:space="preserve"> solution de thiosulfate de sodium</w:t>
      </w:r>
      <w:r w:rsidR="00CB5714" w:rsidRPr="006E23D5">
        <w:rPr>
          <w:rFonts w:eastAsia="Arial Unicode MS"/>
        </w:rPr>
        <w:t xml:space="preserve"> </w:t>
      </w:r>
      <w:r w:rsidR="00D54AEC">
        <w:rPr>
          <w:rFonts w:eastAsia="Arial Unicode MS"/>
        </w:rPr>
        <w:t xml:space="preserve">de </w:t>
      </w:r>
      <w:r w:rsidR="00CB5714" w:rsidRPr="006E23D5">
        <w:rPr>
          <w:rFonts w:eastAsia="Arial Unicode MS"/>
        </w:rPr>
        <w:t xml:space="preserve">concentration </w:t>
      </w:r>
      <w:r w:rsidR="004349BD">
        <w:rPr>
          <w:rFonts w:eastAsia="Arial Unicode MS"/>
          <w:i/>
        </w:rPr>
        <w:t>C</w:t>
      </w:r>
      <w:r w:rsidR="00333FFA" w:rsidRPr="002E062C">
        <w:rPr>
          <w:rFonts w:eastAsia="Arial Unicode MS"/>
          <w:iCs/>
          <w:vertAlign w:val="subscript"/>
        </w:rPr>
        <w:t>2</w:t>
      </w:r>
      <w:r w:rsidR="00CB5714" w:rsidRPr="006E23D5">
        <w:rPr>
          <w:rFonts w:eastAsia="Arial Unicode MS"/>
        </w:rPr>
        <w:t xml:space="preserve"> </w:t>
      </w:r>
      <w:r w:rsidR="00D54AEC">
        <w:rPr>
          <w:rFonts w:eastAsia="Arial Unicode MS"/>
        </w:rPr>
        <w:t xml:space="preserve">= </w:t>
      </w:r>
      <w:r w:rsidR="00CB5714" w:rsidRPr="006E23D5">
        <w:rPr>
          <w:rFonts w:eastAsia="Arial Unicode MS"/>
        </w:rPr>
        <w:t>1,0</w:t>
      </w:r>
      <w:r w:rsidR="000525FA">
        <w:rPr>
          <w:rFonts w:eastAsia="Arial Unicode MS"/>
        </w:rPr>
        <w:t xml:space="preserve"> </w:t>
      </w:r>
      <w:r w:rsidR="000525FA" w:rsidRPr="000525FA">
        <w:t xml:space="preserve">× </w:t>
      </w:r>
      <w:r w:rsidR="00CB5714" w:rsidRPr="006E23D5">
        <w:rPr>
          <w:rFonts w:eastAsia="Arial Unicode MS"/>
        </w:rPr>
        <w:t>10</w:t>
      </w:r>
      <w:r w:rsidR="002E062C">
        <w:rPr>
          <w:vertAlign w:val="superscript"/>
        </w:rPr>
        <w:t>–</w:t>
      </w:r>
      <w:r w:rsidR="00CB5714" w:rsidRPr="006E23D5">
        <w:rPr>
          <w:rFonts w:eastAsia="Arial Unicode MS"/>
          <w:vertAlign w:val="superscript"/>
        </w:rPr>
        <w:t>1</w:t>
      </w:r>
      <w:r w:rsidR="00CB5714" w:rsidRPr="006E23D5">
        <w:rPr>
          <w:rFonts w:eastAsia="Arial Unicode MS"/>
        </w:rPr>
        <w:t xml:space="preserve"> </w:t>
      </w:r>
      <w:proofErr w:type="spellStart"/>
      <w:proofErr w:type="gramStart"/>
      <w:r w:rsidR="00CB5714" w:rsidRPr="006E23D5">
        <w:rPr>
          <w:rFonts w:eastAsia="Arial Unicode MS"/>
        </w:rPr>
        <w:t>mol.L</w:t>
      </w:r>
      <w:proofErr w:type="spellEnd"/>
      <w:proofErr w:type="gramEnd"/>
      <w:r w:rsidR="002E062C">
        <w:rPr>
          <w:vertAlign w:val="superscript"/>
        </w:rPr>
        <w:t>–</w:t>
      </w:r>
      <w:r w:rsidR="00CB5714" w:rsidRPr="006E23D5">
        <w:rPr>
          <w:rFonts w:eastAsia="Arial Unicode MS"/>
          <w:vertAlign w:val="superscript"/>
        </w:rPr>
        <w:t>1</w:t>
      </w:r>
      <w:r w:rsidR="00373D7E" w:rsidRPr="006E23D5">
        <w:rPr>
          <w:rFonts w:eastAsia="Arial Unicode MS"/>
        </w:rPr>
        <w:t>.</w:t>
      </w:r>
      <w:r w:rsidR="00373D7E">
        <w:rPr>
          <w:rFonts w:eastAsia="Arial Unicode MS"/>
        </w:rPr>
        <w:t xml:space="preserve"> </w:t>
      </w:r>
    </w:p>
    <w:p w14:paraId="44F99854" w14:textId="0ECA08B7" w:rsidR="00B00D00" w:rsidRDefault="00B00D00" w:rsidP="00AC2D9C">
      <w:pPr>
        <w:pStyle w:val="ECEcorps"/>
        <w:rPr>
          <w:rFonts w:eastAsia="Arial Unicode MS"/>
        </w:rPr>
      </w:pPr>
      <w:r w:rsidRPr="00B00D00">
        <w:rPr>
          <w:rFonts w:eastAsia="Arial Unicode MS"/>
          <w:i/>
          <w:iCs/>
        </w:rPr>
        <w:t>Remarque</w:t>
      </w:r>
      <w:r>
        <w:rPr>
          <w:rFonts w:eastAsia="Arial Unicode MS"/>
        </w:rPr>
        <w:t xml:space="preserve"> : </w:t>
      </w:r>
      <w:r w:rsidR="000F0156">
        <w:rPr>
          <w:rFonts w:eastAsia="Arial Unicode MS"/>
        </w:rPr>
        <w:t>il est possible de p</w:t>
      </w:r>
      <w:r>
        <w:rPr>
          <w:rFonts w:eastAsia="Arial Unicode MS"/>
        </w:rPr>
        <w:t xml:space="preserve">lacer un papier blanc sur l’agitateur magnétique </w:t>
      </w:r>
      <w:r w:rsidR="00534D7D">
        <w:rPr>
          <w:rFonts w:eastAsia="Arial Unicode MS"/>
        </w:rPr>
        <w:t>sous l’erlenmeyer qui va être utilisé afin de mieux constater</w:t>
      </w:r>
      <w:r>
        <w:rPr>
          <w:rFonts w:eastAsia="Arial Unicode MS"/>
        </w:rPr>
        <w:t xml:space="preserve"> le changement de couleur.</w:t>
      </w:r>
    </w:p>
    <w:p w14:paraId="50F608D3" w14:textId="3346C33E" w:rsidR="00D3655F" w:rsidRDefault="00D54AEC" w:rsidP="00AC2D9C">
      <w:pPr>
        <w:pStyle w:val="ECEcorps"/>
        <w:rPr>
          <w:rFonts w:eastAsia="Arial Unicode MS"/>
        </w:rPr>
      </w:pPr>
      <w:r w:rsidRPr="00D54AEC">
        <w:rPr>
          <w:rFonts w:eastAsia="Arial Unicode MS"/>
        </w:rPr>
        <w:t>Lorsque la concentration en diiode est faible</w:t>
      </w:r>
      <w:r>
        <w:rPr>
          <w:rFonts w:eastAsia="Arial Unicode MS"/>
        </w:rPr>
        <w:t xml:space="preserve">, </w:t>
      </w:r>
      <w:r w:rsidRPr="00D54AEC">
        <w:rPr>
          <w:rFonts w:eastAsia="Arial Unicode MS"/>
        </w:rPr>
        <w:t>le changement de couleur est peu net</w:t>
      </w:r>
      <w:r>
        <w:rPr>
          <w:rFonts w:eastAsia="Arial Unicode MS"/>
        </w:rPr>
        <w:t xml:space="preserve">. </w:t>
      </w:r>
      <w:r w:rsidRPr="00D54AEC">
        <w:rPr>
          <w:rFonts w:eastAsia="Arial Unicode MS"/>
        </w:rPr>
        <w:t xml:space="preserve">L’empois d’amidon est ajouté </w:t>
      </w:r>
      <w:r w:rsidR="00C95139">
        <w:rPr>
          <w:rFonts w:eastAsia="Arial Unicode MS"/>
        </w:rPr>
        <w:t>au</w:t>
      </w:r>
      <w:r w:rsidRPr="00D54AEC">
        <w:rPr>
          <w:rFonts w:eastAsia="Arial Unicode MS"/>
        </w:rPr>
        <w:t xml:space="preserve"> cours d</w:t>
      </w:r>
      <w:r w:rsidR="00C95139">
        <w:rPr>
          <w:rFonts w:eastAsia="Arial Unicode MS"/>
        </w:rPr>
        <w:t>u</w:t>
      </w:r>
      <w:r w:rsidRPr="00D54AEC">
        <w:rPr>
          <w:rFonts w:eastAsia="Arial Unicode MS"/>
        </w:rPr>
        <w:t xml:space="preserve"> titrage, lorsque la solution est suffisamment claire (jaune pâle), afin d’améliorer la précision du repérage.</w:t>
      </w:r>
    </w:p>
    <w:p w14:paraId="0D6C739F" w14:textId="77777777" w:rsidR="00D3655F" w:rsidRDefault="00D3655F" w:rsidP="00333FFA">
      <w:pPr>
        <w:pStyle w:val="ECEcorps"/>
        <w:rPr>
          <w:rFonts w:eastAsia="Arial Unicode MS"/>
        </w:rPr>
      </w:pPr>
    </w:p>
    <w:p w14:paraId="41EF0AA7" w14:textId="5ED7FD83" w:rsidR="00D3655F" w:rsidRDefault="00D3655F" w:rsidP="002942AA">
      <w:pPr>
        <w:pStyle w:val="ECEcorps"/>
        <w:numPr>
          <w:ilvl w:val="0"/>
          <w:numId w:val="5"/>
        </w:numPr>
        <w:ind w:left="142" w:hanging="142"/>
        <w:rPr>
          <w:rFonts w:eastAsia="Arial Unicode MS"/>
        </w:rPr>
      </w:pPr>
      <w:r>
        <w:rPr>
          <w:rFonts w:eastAsia="Arial Unicode MS"/>
        </w:rPr>
        <w:t xml:space="preserve">Légender le schéma </w:t>
      </w:r>
      <w:r w:rsidR="00476B66">
        <w:rPr>
          <w:rFonts w:eastAsia="Arial Unicode MS"/>
        </w:rPr>
        <w:t xml:space="preserve">ci-dessous </w:t>
      </w:r>
      <w:r>
        <w:rPr>
          <w:rFonts w:eastAsia="Arial Unicode MS"/>
        </w:rPr>
        <w:t xml:space="preserve">en précisant </w:t>
      </w:r>
      <w:r w:rsidR="00390927">
        <w:rPr>
          <w:rFonts w:eastAsia="Arial Unicode MS"/>
        </w:rPr>
        <w:t>le contenu de la burette et d</w:t>
      </w:r>
      <w:r w:rsidR="00C55893">
        <w:rPr>
          <w:rFonts w:eastAsia="Arial Unicode MS"/>
        </w:rPr>
        <w:t>e l’erlenmeyer</w:t>
      </w:r>
      <w:r w:rsidR="00390927">
        <w:rPr>
          <w:rFonts w:eastAsia="Arial Unicode MS"/>
        </w:rPr>
        <w:t xml:space="preserve"> ainsi que les grandeurs concentration et volume connues.</w:t>
      </w:r>
    </w:p>
    <w:p w14:paraId="01EFBC0D" w14:textId="1A77226E" w:rsidR="00F54E27" w:rsidRDefault="00F54E27" w:rsidP="00D3655F">
      <w:pPr>
        <w:pStyle w:val="ECEcorps"/>
        <w:jc w:val="left"/>
        <w:rPr>
          <w:rFonts w:eastAsia="Arial Unicode MS"/>
        </w:rPr>
      </w:pPr>
    </w:p>
    <w:p w14:paraId="43F39A1D" w14:textId="33D7F487" w:rsidR="00F54E27" w:rsidRPr="00C31E61" w:rsidRDefault="001722BD" w:rsidP="00F54E27">
      <w:pPr>
        <w:pStyle w:val="ECEcorps"/>
        <w:ind w:left="1701"/>
        <w:jc w:val="left"/>
        <w:rPr>
          <w:rFonts w:eastAsia="Arial Unicode MS"/>
        </w:rPr>
      </w:pPr>
      <w:r>
        <w:rPr>
          <w:rFonts w:eastAsia="Arial Unicode MS"/>
          <w:noProof/>
        </w:rPr>
        <w:drawing>
          <wp:inline distT="0" distB="0" distL="0" distR="0" wp14:anchorId="12FCFC6C" wp14:editId="75340A22">
            <wp:extent cx="1228044" cy="2016000"/>
            <wp:effectExtent l="0" t="0" r="0" b="3810"/>
            <wp:docPr id="5045130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44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C6751" w14:textId="77777777" w:rsidR="00AC2D9C" w:rsidRDefault="00AC2D9C" w:rsidP="00AC2D9C">
      <w:pPr>
        <w:pStyle w:val="ECEcorps"/>
      </w:pPr>
    </w:p>
    <w:p w14:paraId="5FDF729D" w14:textId="21586C11" w:rsidR="00476B66" w:rsidRPr="00C31E61" w:rsidRDefault="00476B66" w:rsidP="00F30BD5">
      <w:pPr>
        <w:pStyle w:val="ECEcorps"/>
        <w:numPr>
          <w:ilvl w:val="0"/>
          <w:numId w:val="5"/>
        </w:numPr>
        <w:ind w:left="142" w:hanging="142"/>
        <w:rPr>
          <w:rFonts w:eastAsia="Arial Unicode MS"/>
        </w:rPr>
      </w:pPr>
      <w:r>
        <w:rPr>
          <w:rFonts w:eastAsia="Arial Unicode MS"/>
        </w:rPr>
        <w:t>Mettre en œuvre le protocole</w:t>
      </w:r>
      <w:r w:rsidR="00534D7D">
        <w:rPr>
          <w:rFonts w:eastAsia="Arial Unicode MS"/>
        </w:rPr>
        <w:t xml:space="preserve">. Relever </w:t>
      </w:r>
      <w:r>
        <w:rPr>
          <w:rFonts w:eastAsia="Arial Unicode MS"/>
        </w:rPr>
        <w:t xml:space="preserve">le volume équivalent </w:t>
      </w:r>
      <w:r w:rsidRPr="00C31E61">
        <w:rPr>
          <w:rFonts w:eastAsia="Arial Unicode MS"/>
          <w:i/>
        </w:rPr>
        <w:t>V</w:t>
      </w:r>
      <w:r w:rsidRPr="002E062C">
        <w:rPr>
          <w:rFonts w:eastAsia="Arial Unicode MS"/>
          <w:iCs/>
          <w:vertAlign w:val="subscript"/>
        </w:rPr>
        <w:t xml:space="preserve">E </w:t>
      </w:r>
      <w:r w:rsidRPr="00C31E61">
        <w:rPr>
          <w:rFonts w:eastAsia="Arial Unicode MS"/>
        </w:rPr>
        <w:t xml:space="preserve">de solution </w:t>
      </w:r>
      <w:proofErr w:type="spellStart"/>
      <w:r w:rsidRPr="00C31E61">
        <w:rPr>
          <w:rFonts w:eastAsia="Arial Unicode MS"/>
        </w:rPr>
        <w:t>titrante</w:t>
      </w:r>
      <w:proofErr w:type="spellEnd"/>
      <w:r w:rsidRPr="00C31E61">
        <w:rPr>
          <w:rFonts w:eastAsia="Arial Unicode MS"/>
        </w:rPr>
        <w:t xml:space="preserve"> versé à l’équivalence</w:t>
      </w:r>
      <w:r w:rsidR="00534D7D">
        <w:rPr>
          <w:rFonts w:eastAsia="Arial Unicode MS"/>
        </w:rPr>
        <w:t xml:space="preserve"> et le noter ci-dessous :</w:t>
      </w:r>
    </w:p>
    <w:p w14:paraId="1A3CE673" w14:textId="77777777" w:rsidR="00476B66" w:rsidRDefault="00476B66" w:rsidP="00476B66">
      <w:pPr>
        <w:pStyle w:val="ECEcorps"/>
        <w:jc w:val="center"/>
        <w:rPr>
          <w:rFonts w:eastAsia="Arial Unicode MS"/>
        </w:rPr>
      </w:pPr>
    </w:p>
    <w:p w14:paraId="155E0A36" w14:textId="64447F10" w:rsidR="00F54E27" w:rsidRDefault="00476B66" w:rsidP="00203D75">
      <w:pPr>
        <w:pStyle w:val="ECEcorps"/>
        <w:jc w:val="center"/>
        <w:rPr>
          <w:rFonts w:eastAsia="Arial Unicode MS"/>
        </w:rPr>
      </w:pPr>
      <w:r>
        <w:rPr>
          <w:rFonts w:eastAsia="Arial Unicode MS"/>
          <w:i/>
          <w:iCs/>
        </w:rPr>
        <w:t>V</w:t>
      </w:r>
      <w:r w:rsidRPr="002E062C">
        <w:rPr>
          <w:rFonts w:eastAsia="Arial Unicode MS"/>
          <w:vertAlign w:val="subscript"/>
        </w:rPr>
        <w:t>E</w:t>
      </w:r>
      <w:r w:rsidR="00647AD2">
        <w:rPr>
          <w:rFonts w:eastAsia="Arial Unicode MS"/>
        </w:rPr>
        <w:t xml:space="preserve"> = ……………………</w:t>
      </w:r>
    </w:p>
    <w:p w14:paraId="32CB7B74" w14:textId="77777777" w:rsidR="00534D7D" w:rsidRPr="00647AD2" w:rsidRDefault="00534D7D" w:rsidP="00203D75">
      <w:pPr>
        <w:pStyle w:val="ECEcorps"/>
        <w:jc w:val="center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C2D9C" w14:paraId="6CA46CED" w14:textId="77777777" w:rsidTr="00AC2D9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4447C0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814281" w14:textId="77777777" w:rsidR="00AC2D9C" w:rsidRDefault="00AC2D9C" w:rsidP="00AC2D9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EE119B8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C2D9C" w14:paraId="3A6FD832" w14:textId="77777777" w:rsidTr="00AC2D9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F3AC11" w14:textId="77777777" w:rsidR="00AC2D9C" w:rsidRPr="00592F79" w:rsidRDefault="00AC2D9C" w:rsidP="00AC2D9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11CFEA2" w14:textId="77777777" w:rsidR="00AC2D9C" w:rsidRDefault="00AC2D9C" w:rsidP="00AC2D9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résultat expérimenta</w:t>
            </w:r>
            <w:r>
              <w:t xml:space="preserve">l et le schéma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6193CD" w14:textId="77777777" w:rsidR="00AC2D9C" w:rsidRDefault="00AC2D9C" w:rsidP="00AC2D9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EC9767" w14:textId="77777777" w:rsidR="00AC2D9C" w:rsidRDefault="00AC2D9C" w:rsidP="00AC2D9C">
      <w:pPr>
        <w:pStyle w:val="ECEcorps"/>
      </w:pPr>
    </w:p>
    <w:p w14:paraId="027907CA" w14:textId="77777777" w:rsidR="00AC2D9C" w:rsidRPr="003C13F9" w:rsidRDefault="00C31E61" w:rsidP="00AC2D9C">
      <w:pPr>
        <w:pStyle w:val="ECEpartie"/>
      </w:pPr>
      <w:bookmarkStart w:id="13" w:name="_Toc482638816"/>
      <w:bookmarkStart w:id="14" w:name="_Toc500182693"/>
      <w:r>
        <w:t xml:space="preserve">Détermination de la masse d’acide ascorbique dans le comprimé </w:t>
      </w:r>
      <w:r w:rsidR="00AC2D9C" w:rsidRPr="00FF78A1">
        <w:rPr>
          <w:b w:val="0"/>
          <w:bCs/>
        </w:rPr>
        <w:t>(</w:t>
      </w:r>
      <w:r w:rsidR="00AC2D9C">
        <w:rPr>
          <w:b w:val="0"/>
          <w:bCs/>
        </w:rPr>
        <w:t>20</w:t>
      </w:r>
      <w:r w:rsidR="00AC2D9C" w:rsidRPr="00FF78A1">
        <w:rPr>
          <w:b w:val="0"/>
          <w:bCs/>
        </w:rPr>
        <w:t xml:space="preserve"> minutes conseillées)</w:t>
      </w:r>
      <w:bookmarkEnd w:id="13"/>
      <w:bookmarkEnd w:id="14"/>
    </w:p>
    <w:p w14:paraId="782C7ACA" w14:textId="77777777" w:rsidR="00AC2D9C" w:rsidRDefault="00AC2D9C" w:rsidP="00AC2D9C">
      <w:pPr>
        <w:pStyle w:val="ECEcorps"/>
        <w:rPr>
          <w:b/>
        </w:rPr>
      </w:pPr>
    </w:p>
    <w:p w14:paraId="418C2BAB" w14:textId="2E7189DB" w:rsidR="0013456A" w:rsidRPr="00B00D00" w:rsidRDefault="0095334B" w:rsidP="0013456A">
      <w:pPr>
        <w:pStyle w:val="ECEcorps"/>
        <w:numPr>
          <w:ilvl w:val="0"/>
          <w:numId w:val="6"/>
        </w:numPr>
        <w:ind w:left="284" w:hanging="284"/>
      </w:pPr>
      <w:r w:rsidRPr="00B00D00">
        <w:t xml:space="preserve">Écrire les deux demi-équations rédox associées à la réaction de titrage entre le diiode et le thiosulfate de sodium. </w:t>
      </w:r>
      <w:r w:rsidR="00C95139" w:rsidRPr="00B00D00">
        <w:t xml:space="preserve">En déduire l’équation chimique </w:t>
      </w:r>
      <w:r w:rsidR="00203D75" w:rsidRPr="00B00D00">
        <w:t>(</w:t>
      </w:r>
      <w:r w:rsidR="001A35FA" w:rsidRPr="001A35FA">
        <w:rPr>
          <w:b/>
        </w:rPr>
        <w:t xml:space="preserve">équation </w:t>
      </w:r>
      <w:r w:rsidR="00203D75" w:rsidRPr="001A35FA">
        <w:rPr>
          <w:b/>
        </w:rPr>
        <w:t>E</w:t>
      </w:r>
      <w:r w:rsidR="00203D75" w:rsidRPr="001A35FA">
        <w:rPr>
          <w:b/>
          <w:vertAlign w:val="subscript"/>
        </w:rPr>
        <w:t>2</w:t>
      </w:r>
      <w:r w:rsidR="00203D75" w:rsidRPr="00B00D00">
        <w:t xml:space="preserve">) </w:t>
      </w:r>
      <w:r w:rsidR="00C95139" w:rsidRPr="00B00D00">
        <w:t xml:space="preserve">modélisant </w:t>
      </w:r>
      <w:r w:rsidRPr="00B00D00">
        <w:t>cette</w:t>
      </w:r>
      <w:r w:rsidR="00C95139" w:rsidRPr="00B00D00">
        <w:t xml:space="preserve"> transformation.</w:t>
      </w:r>
      <w:r w:rsidR="00DD7A95" w:rsidRPr="00B00D00">
        <w:t> </w:t>
      </w:r>
    </w:p>
    <w:p w14:paraId="23EB8891" w14:textId="77777777" w:rsidR="000F1615" w:rsidRDefault="000F1615" w:rsidP="000F1615">
      <w:pPr>
        <w:pStyle w:val="ECEcorps"/>
      </w:pPr>
    </w:p>
    <w:p w14:paraId="50E02F0B" w14:textId="77777777" w:rsidR="004B1528" w:rsidRDefault="004B1528" w:rsidP="004B152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437989D8" w14:textId="77777777" w:rsidR="004B1528" w:rsidRDefault="004B1528" w:rsidP="004B152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</w:t>
      </w:r>
    </w:p>
    <w:p w14:paraId="67CADFD4" w14:textId="1747AC30" w:rsidR="0013456A" w:rsidRDefault="00327827" w:rsidP="0013456A">
      <w:pPr>
        <w:pStyle w:val="ECEcorps"/>
        <w:numPr>
          <w:ilvl w:val="0"/>
          <w:numId w:val="6"/>
        </w:numPr>
        <w:ind w:left="142" w:hanging="142"/>
      </w:pPr>
      <w:r>
        <w:t>Déterminer</w:t>
      </w:r>
      <w:r w:rsidR="00C52EF9" w:rsidRPr="00C52EF9">
        <w:t xml:space="preserve"> la quantité de matière </w:t>
      </w:r>
      <w:r w:rsidR="00C52EF9" w:rsidRPr="00C52EF9">
        <w:rPr>
          <w:i/>
          <w:iCs/>
        </w:rPr>
        <w:t>n</w:t>
      </w:r>
      <w:r w:rsidR="00C52EF9" w:rsidRPr="00C52EF9">
        <w:t xml:space="preserve"> et la masse </w:t>
      </w:r>
      <w:r w:rsidR="00C52EF9" w:rsidRPr="00C52EF9">
        <w:rPr>
          <w:i/>
          <w:iCs/>
        </w:rPr>
        <w:t>m</w:t>
      </w:r>
      <w:r w:rsidR="00C52EF9" w:rsidRPr="00C52EF9">
        <w:t xml:space="preserve"> d’acide ascorbique contenues dans 10,0 mL de solution.</w:t>
      </w:r>
    </w:p>
    <w:p w14:paraId="3FA5C847" w14:textId="77777777" w:rsidR="000F1615" w:rsidRDefault="000F1615" w:rsidP="000F1615">
      <w:pPr>
        <w:pStyle w:val="ECEcorps"/>
        <w:ind w:left="142"/>
      </w:pPr>
    </w:p>
    <w:p w14:paraId="22C123AB" w14:textId="174C5E50" w:rsidR="00C31E61" w:rsidRDefault="00C31E61" w:rsidP="0061538F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6682110A" w14:textId="6A798884" w:rsidR="00C31E61" w:rsidRDefault="00DE4A42" w:rsidP="00B3444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</w:t>
      </w:r>
    </w:p>
    <w:p w14:paraId="26D49622" w14:textId="1D961893" w:rsidR="00C31E61" w:rsidRDefault="00C31E61" w:rsidP="002942AA">
      <w:pPr>
        <w:pStyle w:val="ECEcorps"/>
        <w:numPr>
          <w:ilvl w:val="0"/>
          <w:numId w:val="6"/>
        </w:numPr>
        <w:ind w:left="142" w:hanging="142"/>
      </w:pPr>
      <w:r>
        <w:t xml:space="preserve">En déduire la masse </w:t>
      </w:r>
      <w:proofErr w:type="gramStart"/>
      <w:r w:rsidR="00476B66" w:rsidRPr="00476B66">
        <w:rPr>
          <w:i/>
        </w:rPr>
        <w:t>m’</w:t>
      </w:r>
      <w:r w:rsidR="00476B66">
        <w:t xml:space="preserve"> </w:t>
      </w:r>
      <w:r>
        <w:t>d’ac</w:t>
      </w:r>
      <w:r w:rsidR="00B34441">
        <w:t>ide</w:t>
      </w:r>
      <w:proofErr w:type="gramEnd"/>
      <w:r w:rsidR="00B34441">
        <w:t xml:space="preserve"> ascorbique </w:t>
      </w:r>
      <w:r w:rsidR="00C52EF9" w:rsidRPr="00C52EF9">
        <w:t>contenue dans le comprimé</w:t>
      </w:r>
      <w:r w:rsidR="00B34441">
        <w:t>.</w:t>
      </w:r>
    </w:p>
    <w:p w14:paraId="4490669A" w14:textId="77777777" w:rsidR="00C31E61" w:rsidRDefault="00C31E61" w:rsidP="00C31E61">
      <w:pPr>
        <w:pStyle w:val="ECEcorps"/>
      </w:pPr>
    </w:p>
    <w:p w14:paraId="72BCEA06" w14:textId="77777777" w:rsidR="00C31E61" w:rsidRPr="00B00D00" w:rsidRDefault="00C31E61" w:rsidP="00C31E6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auto"/>
        </w:rPr>
      </w:pPr>
      <w:r w:rsidRPr="00B00D00">
        <w:rPr>
          <w:color w:val="auto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5CD296E0" w14:textId="77777777" w:rsidR="00327827" w:rsidRDefault="00D964C1" w:rsidP="00B34441">
      <w:pPr>
        <w:pStyle w:val="ECEcorps"/>
        <w:numPr>
          <w:ilvl w:val="0"/>
          <w:numId w:val="6"/>
        </w:numPr>
        <w:ind w:left="142" w:hanging="142"/>
      </w:pPr>
      <w:r w:rsidRPr="00B00D00">
        <w:t xml:space="preserve">Dans le cadre de cette expérience, l’incertitude-type </w:t>
      </w:r>
      <w:r w:rsidRPr="00B00D00">
        <w:rPr>
          <w:i/>
          <w:iCs/>
        </w:rPr>
        <w:t>u</w:t>
      </w:r>
      <w:r w:rsidRPr="00B00D00">
        <w:t>(</w:t>
      </w:r>
      <w:r w:rsidRPr="00B00D00">
        <w:rPr>
          <w:i/>
          <w:iCs/>
        </w:rPr>
        <w:t>m</w:t>
      </w:r>
      <w:r w:rsidRPr="00B00D00">
        <w:t>) est égale à 3 mg</w:t>
      </w:r>
      <w:r>
        <w:t>.</w:t>
      </w:r>
      <w:r w:rsidRPr="00B00D00">
        <w:t xml:space="preserve"> </w:t>
      </w:r>
      <w:r w:rsidR="002D26F0" w:rsidRPr="00B00D00">
        <w:t xml:space="preserve">Comparer </w:t>
      </w:r>
      <w:r w:rsidR="00B34441" w:rsidRPr="00B00D00">
        <w:t xml:space="preserve">la masse d’acide ascorbique </w:t>
      </w:r>
      <w:r w:rsidR="0095422B" w:rsidRPr="00B00D00">
        <w:t xml:space="preserve">mesurée </w:t>
      </w:r>
      <w:r w:rsidR="002D26F0" w:rsidRPr="00B00D00">
        <w:rPr>
          <w:i/>
        </w:rPr>
        <w:t xml:space="preserve">m’ </w:t>
      </w:r>
      <w:r w:rsidR="00B34441" w:rsidRPr="00B00D00">
        <w:t xml:space="preserve">avec la masse de référence </w:t>
      </w:r>
      <w:proofErr w:type="spellStart"/>
      <w:r w:rsidR="00B34441" w:rsidRPr="00B00D00">
        <w:rPr>
          <w:i/>
        </w:rPr>
        <w:t>m</w:t>
      </w:r>
      <w:r w:rsidR="00B34441" w:rsidRPr="00B00D00">
        <w:rPr>
          <w:iCs/>
          <w:vertAlign w:val="subscript"/>
        </w:rPr>
        <w:t>ref</w:t>
      </w:r>
      <w:proofErr w:type="spellEnd"/>
      <w:r w:rsidR="002D26F0" w:rsidRPr="00B00D00">
        <w:t xml:space="preserve"> en calculant le quotient</w:t>
      </w:r>
      <w:r w:rsidR="00B14B6B" w:rsidRPr="00B00D00"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ref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u(m)</m:t>
                </m:r>
              </m:den>
            </m:f>
          </m:e>
        </m:d>
      </m:oMath>
      <w:r w:rsidR="002D26F0" w:rsidRPr="00B00D00">
        <w:t xml:space="preserve">. </w:t>
      </w:r>
      <w:r w:rsidR="001A35FA">
        <w:t>Si c</w:t>
      </w:r>
      <w:r w:rsidR="003376D5" w:rsidRPr="00B00D00">
        <w:t xml:space="preserve">e quotient est inférieur à 2, on considère que la valeur </w:t>
      </w:r>
      <w:r>
        <w:t>déterminée expérimentalement</w:t>
      </w:r>
      <w:r w:rsidR="003376D5" w:rsidRPr="00B00D00">
        <w:t xml:space="preserve"> est compatible avec la valeur de référence.</w:t>
      </w:r>
    </w:p>
    <w:p w14:paraId="77258068" w14:textId="3CEFF68F" w:rsidR="007F1465" w:rsidRPr="00B00D00" w:rsidRDefault="00B14B6B" w:rsidP="00327827">
      <w:pPr>
        <w:pStyle w:val="ECEcorps"/>
        <w:ind w:left="142"/>
      </w:pPr>
      <w:r w:rsidRPr="00B00D00">
        <w:t>Conclure.</w:t>
      </w:r>
    </w:p>
    <w:p w14:paraId="66B59815" w14:textId="77777777" w:rsidR="003376D5" w:rsidRPr="00B00D00" w:rsidRDefault="003376D5" w:rsidP="003376D5">
      <w:pPr>
        <w:pStyle w:val="ECEcorps"/>
        <w:ind w:left="142"/>
      </w:pPr>
    </w:p>
    <w:p w14:paraId="7F91FFA0" w14:textId="77777777" w:rsidR="00B34441" w:rsidRPr="00B00D00" w:rsidRDefault="00B34441" w:rsidP="00B3444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auto"/>
        </w:rPr>
      </w:pPr>
      <w:r w:rsidRPr="00B00D00">
        <w:rPr>
          <w:color w:val="auto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742ABA18" w14:textId="2920CA56" w:rsidR="00B34441" w:rsidRPr="00B00D00" w:rsidRDefault="00B34441" w:rsidP="00476B6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auto"/>
        </w:rPr>
      </w:pPr>
      <w:r w:rsidRPr="00B00D00">
        <w:rPr>
          <w:color w:val="auto"/>
        </w:rPr>
        <w:t>………………………………………………………………………………………………………………………………………</w:t>
      </w:r>
    </w:p>
    <w:p w14:paraId="6B2726A8" w14:textId="4FD1F899" w:rsidR="004B1528" w:rsidRPr="00B00D00" w:rsidRDefault="001A35FA" w:rsidP="004B1528">
      <w:pPr>
        <w:pStyle w:val="ECEcorps"/>
        <w:numPr>
          <w:ilvl w:val="0"/>
          <w:numId w:val="6"/>
        </w:numPr>
        <w:ind w:left="142" w:hanging="142"/>
      </w:pPr>
      <w:r>
        <w:t xml:space="preserve">Déterminer </w:t>
      </w:r>
      <w:r w:rsidR="004B1528" w:rsidRPr="00B00D00">
        <w:t xml:space="preserve">le nombre de </w:t>
      </w:r>
      <w:r w:rsidR="00A46FEA" w:rsidRPr="00B00D00">
        <w:t>comprimés</w:t>
      </w:r>
      <w:r w:rsidR="004B1528" w:rsidRPr="00B00D00">
        <w:t xml:space="preserve"> à prendre si on veut couvrir, par ce seul apport, les besoins journaliers en vitamine C d’une personne</w:t>
      </w:r>
      <w:r>
        <w:t xml:space="preserve">. </w:t>
      </w:r>
    </w:p>
    <w:p w14:paraId="5802E844" w14:textId="77777777" w:rsidR="004B1528" w:rsidRDefault="004B1528" w:rsidP="004B1528">
      <w:pPr>
        <w:pStyle w:val="ECEcorps"/>
        <w:rPr>
          <w:b/>
        </w:rPr>
      </w:pPr>
    </w:p>
    <w:p w14:paraId="02956355" w14:textId="77777777" w:rsidR="004B1528" w:rsidRDefault="004B1528" w:rsidP="004B152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35E9DD1E" w14:textId="77777777" w:rsidR="001A35FA" w:rsidRDefault="001A35FA" w:rsidP="004B152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 xml:space="preserve">Déterminer le nombre </w:t>
      </w:r>
      <w:r w:rsidRPr="00B00D00">
        <w:t xml:space="preserve">de comprimés par jour </w:t>
      </w:r>
      <w:r>
        <w:t>dont la prise entraîne un risque de surdosage.</w:t>
      </w:r>
    </w:p>
    <w:p w14:paraId="38105333" w14:textId="36C16FC6" w:rsidR="004B1528" w:rsidRDefault="004B1528" w:rsidP="004B152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F818A21" w14:textId="6875C052" w:rsidR="004B1528" w:rsidRDefault="004B1528" w:rsidP="0018250F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4B54BA7E" w14:textId="73E3ADEE" w:rsidR="00AC3C5D" w:rsidRDefault="00AC2D9C" w:rsidP="002942AA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AC3C5D" w:rsidSect="00AC2D9C">
      <w:headerReference w:type="default" r:id="rId13"/>
      <w:footerReference w:type="defaul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8A5417" w14:textId="77777777" w:rsidR="00BB6ECA" w:rsidRDefault="00BB6ECA" w:rsidP="00AC2D9C">
      <w:pPr>
        <w:spacing w:line="240" w:lineRule="auto"/>
      </w:pPr>
      <w:r>
        <w:separator/>
      </w:r>
    </w:p>
  </w:endnote>
  <w:endnote w:type="continuationSeparator" w:id="0">
    <w:p w14:paraId="41DE7960" w14:textId="77777777" w:rsidR="00BB6ECA" w:rsidRDefault="00BB6ECA" w:rsidP="00AC2D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7B57EA" w14:textId="49C0C5B5" w:rsidR="004E3E0E" w:rsidRPr="00827238" w:rsidRDefault="004E3E0E" w:rsidP="00AC2D9C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B3571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9B3571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B776F4" w14:textId="77777777" w:rsidR="00BB6ECA" w:rsidRDefault="00BB6ECA" w:rsidP="00AC2D9C">
      <w:pPr>
        <w:spacing w:line="240" w:lineRule="auto"/>
      </w:pPr>
      <w:r>
        <w:separator/>
      </w:r>
    </w:p>
  </w:footnote>
  <w:footnote w:type="continuationSeparator" w:id="0">
    <w:p w14:paraId="0975DDAF" w14:textId="77777777" w:rsidR="00BB6ECA" w:rsidRDefault="00BB6ECA" w:rsidP="00AC2D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D27AB8" w14:textId="73591C95" w:rsidR="004E3E0E" w:rsidRDefault="004E3E0E" w:rsidP="00AC2D9C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D61FC">
      <w:rPr>
        <w:b/>
        <w:sz w:val="24"/>
        <w:szCs w:val="24"/>
      </w:rPr>
      <w:t>ANTI-SCORBUT</w:t>
    </w:r>
    <w:r>
      <w:tab/>
      <w:t>Session</w:t>
    </w:r>
  </w:p>
  <w:p w14:paraId="2FBAB0F9" w14:textId="77777777" w:rsidR="004E3E0E" w:rsidRDefault="004E3E0E" w:rsidP="00AC2D9C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282408EA" w14:textId="77777777" w:rsidR="004E3E0E" w:rsidRDefault="004E3E0E" w:rsidP="00AC2D9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21DDB"/>
    <w:multiLevelType w:val="hybridMultilevel"/>
    <w:tmpl w:val="97CE517A"/>
    <w:lvl w:ilvl="0" w:tplc="1EC85A42">
      <w:start w:val="1"/>
      <w:numFmt w:val="decimal"/>
      <w:lvlText w:val="3.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21ED5"/>
    <w:multiLevelType w:val="multilevel"/>
    <w:tmpl w:val="18306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C905CE"/>
    <w:multiLevelType w:val="multilevel"/>
    <w:tmpl w:val="8F1E0CD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54B4A3B"/>
    <w:multiLevelType w:val="hybridMultilevel"/>
    <w:tmpl w:val="DDC8C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32A33"/>
    <w:multiLevelType w:val="hybridMultilevel"/>
    <w:tmpl w:val="06483968"/>
    <w:lvl w:ilvl="0" w:tplc="806E92F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2024A6"/>
    <w:multiLevelType w:val="hybridMultilevel"/>
    <w:tmpl w:val="008AEB8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D9C"/>
    <w:rsid w:val="000114DA"/>
    <w:rsid w:val="00013D17"/>
    <w:rsid w:val="00020042"/>
    <w:rsid w:val="00031D17"/>
    <w:rsid w:val="00045820"/>
    <w:rsid w:val="000525FA"/>
    <w:rsid w:val="0005781C"/>
    <w:rsid w:val="0009575A"/>
    <w:rsid w:val="000B16E4"/>
    <w:rsid w:val="000B18C2"/>
    <w:rsid w:val="000E0488"/>
    <w:rsid w:val="000F0156"/>
    <w:rsid w:val="000F072B"/>
    <w:rsid w:val="000F1615"/>
    <w:rsid w:val="000F4E9D"/>
    <w:rsid w:val="001109DC"/>
    <w:rsid w:val="001111F6"/>
    <w:rsid w:val="00127DD6"/>
    <w:rsid w:val="0013456A"/>
    <w:rsid w:val="00134B5F"/>
    <w:rsid w:val="00145422"/>
    <w:rsid w:val="001722BD"/>
    <w:rsid w:val="0018250F"/>
    <w:rsid w:val="00182B59"/>
    <w:rsid w:val="001841A6"/>
    <w:rsid w:val="001A35FA"/>
    <w:rsid w:val="001E3C18"/>
    <w:rsid w:val="00203D75"/>
    <w:rsid w:val="00205006"/>
    <w:rsid w:val="00214FC3"/>
    <w:rsid w:val="00231D5B"/>
    <w:rsid w:val="0026502F"/>
    <w:rsid w:val="00271347"/>
    <w:rsid w:val="00284618"/>
    <w:rsid w:val="00287D5D"/>
    <w:rsid w:val="002942AA"/>
    <w:rsid w:val="002B28C1"/>
    <w:rsid w:val="002D26F0"/>
    <w:rsid w:val="002E062C"/>
    <w:rsid w:val="002E071C"/>
    <w:rsid w:val="00327827"/>
    <w:rsid w:val="00333FFA"/>
    <w:rsid w:val="00336D16"/>
    <w:rsid w:val="003376D5"/>
    <w:rsid w:val="003563A2"/>
    <w:rsid w:val="00363DE0"/>
    <w:rsid w:val="00373D7E"/>
    <w:rsid w:val="00390927"/>
    <w:rsid w:val="003F37BF"/>
    <w:rsid w:val="003F6B12"/>
    <w:rsid w:val="0042179E"/>
    <w:rsid w:val="00424C79"/>
    <w:rsid w:val="004349BD"/>
    <w:rsid w:val="00476B66"/>
    <w:rsid w:val="00480A61"/>
    <w:rsid w:val="004A08FA"/>
    <w:rsid w:val="004A6031"/>
    <w:rsid w:val="004B1528"/>
    <w:rsid w:val="004E3E0E"/>
    <w:rsid w:val="00534D7D"/>
    <w:rsid w:val="005B74EA"/>
    <w:rsid w:val="005E7329"/>
    <w:rsid w:val="005F2A4D"/>
    <w:rsid w:val="0061240E"/>
    <w:rsid w:val="0061538F"/>
    <w:rsid w:val="00631D7B"/>
    <w:rsid w:val="006467B9"/>
    <w:rsid w:val="00647AD2"/>
    <w:rsid w:val="00671B92"/>
    <w:rsid w:val="00675616"/>
    <w:rsid w:val="006A384C"/>
    <w:rsid w:val="006D6D14"/>
    <w:rsid w:val="006E23D5"/>
    <w:rsid w:val="007017AA"/>
    <w:rsid w:val="007412A6"/>
    <w:rsid w:val="007769A4"/>
    <w:rsid w:val="00777FAD"/>
    <w:rsid w:val="007817AA"/>
    <w:rsid w:val="00790F66"/>
    <w:rsid w:val="00793498"/>
    <w:rsid w:val="007A7CE5"/>
    <w:rsid w:val="007C2F41"/>
    <w:rsid w:val="007F1465"/>
    <w:rsid w:val="0088036E"/>
    <w:rsid w:val="008F30AB"/>
    <w:rsid w:val="00912EEE"/>
    <w:rsid w:val="0091406A"/>
    <w:rsid w:val="009303EC"/>
    <w:rsid w:val="0095334B"/>
    <w:rsid w:val="0095422B"/>
    <w:rsid w:val="00963D17"/>
    <w:rsid w:val="00966668"/>
    <w:rsid w:val="009940A4"/>
    <w:rsid w:val="00995B39"/>
    <w:rsid w:val="009B3571"/>
    <w:rsid w:val="009C61B8"/>
    <w:rsid w:val="009D241D"/>
    <w:rsid w:val="00A063C0"/>
    <w:rsid w:val="00A30DA6"/>
    <w:rsid w:val="00A46FEA"/>
    <w:rsid w:val="00AA771C"/>
    <w:rsid w:val="00AC2D9C"/>
    <w:rsid w:val="00AC3338"/>
    <w:rsid w:val="00AC3B0A"/>
    <w:rsid w:val="00AC3C5D"/>
    <w:rsid w:val="00AF19E5"/>
    <w:rsid w:val="00B00D00"/>
    <w:rsid w:val="00B11DD1"/>
    <w:rsid w:val="00B14B6B"/>
    <w:rsid w:val="00B16331"/>
    <w:rsid w:val="00B1753D"/>
    <w:rsid w:val="00B224C0"/>
    <w:rsid w:val="00B22E3E"/>
    <w:rsid w:val="00B34441"/>
    <w:rsid w:val="00B5700C"/>
    <w:rsid w:val="00B971A6"/>
    <w:rsid w:val="00BB3DB1"/>
    <w:rsid w:val="00BB6ECA"/>
    <w:rsid w:val="00BC22D9"/>
    <w:rsid w:val="00BC5A14"/>
    <w:rsid w:val="00BD55D5"/>
    <w:rsid w:val="00BD61FC"/>
    <w:rsid w:val="00BF368F"/>
    <w:rsid w:val="00C117E8"/>
    <w:rsid w:val="00C31E61"/>
    <w:rsid w:val="00C52EF9"/>
    <w:rsid w:val="00C55893"/>
    <w:rsid w:val="00C83FEB"/>
    <w:rsid w:val="00C95139"/>
    <w:rsid w:val="00CA3525"/>
    <w:rsid w:val="00CB5714"/>
    <w:rsid w:val="00CD49FB"/>
    <w:rsid w:val="00CE1BF1"/>
    <w:rsid w:val="00CF02FF"/>
    <w:rsid w:val="00D1539B"/>
    <w:rsid w:val="00D3655F"/>
    <w:rsid w:val="00D53A05"/>
    <w:rsid w:val="00D54AEC"/>
    <w:rsid w:val="00D67A0B"/>
    <w:rsid w:val="00D8755C"/>
    <w:rsid w:val="00D964C1"/>
    <w:rsid w:val="00DC3661"/>
    <w:rsid w:val="00DD7A95"/>
    <w:rsid w:val="00DE4A42"/>
    <w:rsid w:val="00E157B7"/>
    <w:rsid w:val="00E15BDD"/>
    <w:rsid w:val="00E32510"/>
    <w:rsid w:val="00E33198"/>
    <w:rsid w:val="00ED28AB"/>
    <w:rsid w:val="00EF313B"/>
    <w:rsid w:val="00F033B2"/>
    <w:rsid w:val="00F130D3"/>
    <w:rsid w:val="00F220F4"/>
    <w:rsid w:val="00F30BD5"/>
    <w:rsid w:val="00F35A47"/>
    <w:rsid w:val="00F54E27"/>
    <w:rsid w:val="00F645A5"/>
    <w:rsid w:val="00F8484A"/>
    <w:rsid w:val="00FC21E3"/>
    <w:rsid w:val="00FD2AA6"/>
    <w:rsid w:val="00FD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6535FC"/>
  <w14:defaultImageDpi w14:val="300"/>
  <w15:docId w15:val="{186F008B-A034-4E91-A21F-0331EDA67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D9C"/>
    <w:pPr>
      <w:spacing w:line="264" w:lineRule="auto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AC2D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AC2D9C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AC2D9C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AC2D9C"/>
    <w:pPr>
      <w:spacing w:line="264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ECEtitre">
    <w:name w:val="ECEtitre"/>
    <w:basedOn w:val="ECEcorps"/>
    <w:next w:val="ECEcorps"/>
    <w:qFormat/>
    <w:rsid w:val="00AC2D9C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C2D9C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 w:val="0"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AC2D9C"/>
    <w:pPr>
      <w:numPr>
        <w:numId w:val="1"/>
      </w:numPr>
    </w:pPr>
    <w:rPr>
      <w:b/>
    </w:rPr>
  </w:style>
  <w:style w:type="paragraph" w:customStyle="1" w:styleId="ECEbordure">
    <w:name w:val="ECEbordure"/>
    <w:basedOn w:val="ECEcorps"/>
    <w:qFormat/>
    <w:rsid w:val="00AC2D9C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customStyle="1" w:styleId="Titre1Car">
    <w:name w:val="Titre 1 Car"/>
    <w:basedOn w:val="Policepardfaut"/>
    <w:link w:val="Titre1"/>
    <w:uiPriority w:val="9"/>
    <w:rsid w:val="00AC2D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2D9C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2D9C"/>
    <w:rPr>
      <w:rFonts w:ascii="Lucida Grande" w:eastAsia="Times New Roman" w:hAnsi="Lucida Grande" w:cs="Lucida Grande"/>
      <w:color w:val="000000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C2D9C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C2D9C"/>
    <w:rPr>
      <w:rFonts w:ascii="Arial" w:eastAsia="Times New Roman" w:hAnsi="Arial" w:cs="Arial"/>
      <w:color w:val="000000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AC2D9C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2D9C"/>
    <w:rPr>
      <w:rFonts w:ascii="Arial" w:eastAsia="Times New Roman" w:hAnsi="Arial" w:cs="Arial"/>
      <w:color w:val="000000"/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045820"/>
    <w:rPr>
      <w:color w:val="808080"/>
    </w:rPr>
  </w:style>
  <w:style w:type="paragraph" w:styleId="Paragraphedeliste">
    <w:name w:val="List Paragraph"/>
    <w:basedOn w:val="Normal"/>
    <w:uiPriority w:val="34"/>
    <w:qFormat/>
    <w:rsid w:val="00294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93384C-CC43-42E4-93A7-40382B365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1168</Words>
  <Characters>6424</Characters>
  <DocSecurity>0</DocSecurity>
  <Lines>53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2025-10-07T07:33:00Z</cp:lastPrinted>
  <dcterms:created xsi:type="dcterms:W3CDTF">2025-10-05T21:40:00Z</dcterms:created>
  <dcterms:modified xsi:type="dcterms:W3CDTF">2026-01-20T15:24:00Z</dcterms:modified>
</cp:coreProperties>
</file>