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C65812" w14:textId="77777777" w:rsidR="00DF3100" w:rsidRDefault="00536F54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552D9490" w14:textId="77777777" w:rsidR="00DF3100" w:rsidRDefault="00DF3100">
      <w:pPr>
        <w:pStyle w:val="ECEbordure"/>
        <w:jc w:val="center"/>
        <w:rPr>
          <w:b/>
          <w:sz w:val="24"/>
          <w:szCs w:val="24"/>
        </w:rPr>
      </w:pPr>
    </w:p>
    <w:p w14:paraId="50A9330D" w14:textId="77777777" w:rsidR="00DF3100" w:rsidRDefault="00536F54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0618524B" w14:textId="77777777" w:rsidR="00DF3100" w:rsidRDefault="00536F54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6E19AF2E" w14:textId="77777777" w:rsidR="00DF3100" w:rsidRDefault="00DF3100">
      <w:pPr>
        <w:pStyle w:val="ECEbordure"/>
        <w:jc w:val="center"/>
      </w:pPr>
    </w:p>
    <w:p w14:paraId="6A6270CB" w14:textId="77777777" w:rsidR="00DF3100" w:rsidRDefault="00536F54">
      <w:pPr>
        <w:pStyle w:val="ECEbordure"/>
        <w:jc w:val="center"/>
      </w:pPr>
      <w:r>
        <w:t>Cette situation d’évaluation fait partie de la banque nationale.</w:t>
      </w:r>
    </w:p>
    <w:p w14:paraId="5D8E09F7" w14:textId="77777777" w:rsidR="00DF3100" w:rsidRDefault="00DF3100">
      <w:pPr>
        <w:pStyle w:val="ECEbordure"/>
        <w:jc w:val="center"/>
      </w:pPr>
    </w:p>
    <w:p w14:paraId="2D2129FD" w14:textId="77777777" w:rsidR="00DF3100" w:rsidRDefault="00DF3100">
      <w:pPr>
        <w:pStyle w:val="ECEcorps"/>
      </w:pPr>
    </w:p>
    <w:p w14:paraId="6C549FE8" w14:textId="77777777" w:rsidR="00DF3100" w:rsidRDefault="00536F54">
      <w:pPr>
        <w:pStyle w:val="ECEfiche"/>
        <w:pBdr>
          <w:right w:val="single" w:sz="12" w:space="0" w:color="000000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>
        <w:t>ÉNONCÉ DESTINÉ AU CANDIDAT</w:t>
      </w:r>
      <w:bookmarkEnd w:id="1"/>
      <w:bookmarkEnd w:id="2"/>
    </w:p>
    <w:p w14:paraId="05876EB0" w14:textId="77777777" w:rsidR="00DF3100" w:rsidRDefault="00DF3100">
      <w:pPr>
        <w:pStyle w:val="ECEcorps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DF3100" w14:paraId="670657CB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ADFC87" w14:textId="77777777" w:rsidR="00DF3100" w:rsidRDefault="00536F54">
            <w:pPr>
              <w:pStyle w:val="ECEcorps"/>
            </w:pPr>
            <w:r>
              <w:t xml:space="preserve">NOM : </w:t>
            </w:r>
          </w:p>
          <w:p w14:paraId="28BD8F6D" w14:textId="77777777" w:rsidR="00DF3100" w:rsidRDefault="00DF3100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340DE9" w14:textId="77777777" w:rsidR="00DF3100" w:rsidRDefault="00536F54">
            <w:pPr>
              <w:pStyle w:val="ECEcorps"/>
            </w:pPr>
            <w:r>
              <w:t xml:space="preserve">Prénom : </w:t>
            </w:r>
          </w:p>
        </w:tc>
      </w:tr>
      <w:tr w:rsidR="00DF3100" w14:paraId="609C3A11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62F0C4" w14:textId="77777777" w:rsidR="00DF3100" w:rsidRDefault="00536F54">
            <w:pPr>
              <w:pStyle w:val="ECEcorps"/>
            </w:pPr>
            <w:r>
              <w:t xml:space="preserve">Centre d’examen : </w:t>
            </w:r>
          </w:p>
          <w:p w14:paraId="63BB903A" w14:textId="77777777" w:rsidR="00DF3100" w:rsidRDefault="00DF3100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98F92F" w14:textId="77777777" w:rsidR="00DF3100" w:rsidRDefault="00536F54">
            <w:pPr>
              <w:pStyle w:val="ECEcorps"/>
            </w:pPr>
            <w:r>
              <w:t xml:space="preserve">n° d’inscription : </w:t>
            </w:r>
          </w:p>
        </w:tc>
      </w:tr>
    </w:tbl>
    <w:p w14:paraId="646C8EA4" w14:textId="77777777" w:rsidR="00DF3100" w:rsidRDefault="00DF3100">
      <w:pPr>
        <w:pStyle w:val="ECEcorps"/>
      </w:pPr>
    </w:p>
    <w:p w14:paraId="33A91C12" w14:textId="77777777" w:rsidR="00DF3100" w:rsidRDefault="00536F54">
      <w:pPr>
        <w:pStyle w:val="ECEbordure"/>
      </w:pPr>
      <w:r>
        <w:t xml:space="preserve">Cette situation d’évaluation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79A6A6FE" w14:textId="77777777" w:rsidR="00DF3100" w:rsidRDefault="00536F54">
      <w:pPr>
        <w:pStyle w:val="ECEbordure"/>
      </w:pPr>
      <w:r>
        <w:t>Le candidat doit restituer ce document avant de sortir de la salle d'examen.</w:t>
      </w:r>
    </w:p>
    <w:p w14:paraId="096150EB" w14:textId="77777777" w:rsidR="00DF3100" w:rsidRDefault="00DF3100">
      <w:pPr>
        <w:pStyle w:val="ECEbordure"/>
      </w:pPr>
    </w:p>
    <w:p w14:paraId="7569F78C" w14:textId="77777777" w:rsidR="00DF3100" w:rsidRDefault="00536F54">
      <w:pPr>
        <w:pStyle w:val="ECEbordure"/>
      </w:pPr>
      <w:r>
        <w:t>Le candidat doit agir en autonomie et faire preuve d’initiative tout au long de l’épreuve.</w:t>
      </w:r>
    </w:p>
    <w:p w14:paraId="7D4AAE31" w14:textId="77777777" w:rsidR="00DF3100" w:rsidRDefault="00536F54">
      <w:pPr>
        <w:pStyle w:val="ECEbordure"/>
      </w:pPr>
      <w:r>
        <w:t>En cas de difficulté, le candidat peut solliciter l’examinateur afin de lui permettre de continuer la tâche.</w:t>
      </w:r>
    </w:p>
    <w:p w14:paraId="35098337" w14:textId="77777777" w:rsidR="00DF3100" w:rsidRDefault="00536F54">
      <w:pPr>
        <w:pStyle w:val="ECEbordure"/>
      </w:pPr>
      <w:r>
        <w:t>L’examinateur peut intervenir à tout moment, s’il le juge utile.</w:t>
      </w:r>
    </w:p>
    <w:p w14:paraId="48FBA0BC" w14:textId="77777777" w:rsidR="00DF3100" w:rsidRDefault="00536F54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78521845" w14:textId="77777777" w:rsidR="00DF3100" w:rsidRDefault="00DF3100">
      <w:pPr>
        <w:pStyle w:val="ECEcorps"/>
        <w:rPr>
          <w:u w:val="single"/>
        </w:rPr>
      </w:pPr>
    </w:p>
    <w:p w14:paraId="007A1651" w14:textId="77777777" w:rsidR="00DF3100" w:rsidRDefault="00DF3100">
      <w:pPr>
        <w:pStyle w:val="ECEcorps"/>
        <w:rPr>
          <w:u w:val="single"/>
        </w:rPr>
      </w:pPr>
    </w:p>
    <w:p w14:paraId="66B6CFA8" w14:textId="7931B67D" w:rsidR="00DF3100" w:rsidRDefault="00072121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E279D80" wp14:editId="323BE579">
            <wp:simplePos x="0" y="0"/>
            <wp:positionH relativeFrom="margin">
              <wp:posOffset>4403090</wp:posOffset>
            </wp:positionH>
            <wp:positionV relativeFrom="paragraph">
              <wp:posOffset>159992</wp:posOffset>
            </wp:positionV>
            <wp:extent cx="2076450" cy="1363345"/>
            <wp:effectExtent l="0" t="0" r="0" b="8255"/>
            <wp:wrapTight wrapText="bothSides">
              <wp:wrapPolygon edited="1">
                <wp:start x="0" y="0"/>
                <wp:lineTo x="0" y="21429"/>
                <wp:lineTo x="21402" y="21429"/>
                <wp:lineTo x="21402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706302" name=""/>
                    <pic:cNvPicPr>
                      <a:picLocks noChangeAspect="1"/>
                    </pic:cNvPicPr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2076450" cy="1363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6F54">
        <w:rPr>
          <w:sz w:val="24"/>
          <w:szCs w:val="24"/>
        </w:rPr>
        <w:t>CONTEXTE DE LA SITUATION D’ÉVALUATION</w:t>
      </w:r>
    </w:p>
    <w:p w14:paraId="0E493CA6" w14:textId="571F8A57" w:rsidR="00DF3100" w:rsidRDefault="00DF3100">
      <w:pPr>
        <w:pStyle w:val="ECEcorps"/>
      </w:pPr>
    </w:p>
    <w:p w14:paraId="15137FE7" w14:textId="287DB266" w:rsidR="00072121" w:rsidRDefault="00536F54">
      <w:pPr>
        <w:pStyle w:val="ECEcorps"/>
      </w:pPr>
      <w:r>
        <w:t>L’acide oxalique</w:t>
      </w:r>
      <w:r w:rsidR="00072121">
        <w:t>,</w:t>
      </w:r>
      <w:r>
        <w:t xml:space="preserve"> ou acide </w:t>
      </w:r>
      <w:proofErr w:type="spellStart"/>
      <w:r>
        <w:t>éthanedioïque</w:t>
      </w:r>
      <w:proofErr w:type="spellEnd"/>
      <w:r w:rsidR="00072121">
        <w:t>,</w:t>
      </w:r>
      <w:r>
        <w:t xml:space="preserve"> est utilisé dans de nombreux domaines. Il permet, entre autres, de </w:t>
      </w:r>
      <w:r w:rsidR="00072121">
        <w:t xml:space="preserve">nettoyer </w:t>
      </w:r>
      <w:r>
        <w:t>le bois</w:t>
      </w:r>
      <w:r w:rsidR="00072121">
        <w:t xml:space="preserve"> et </w:t>
      </w:r>
      <w:r>
        <w:t>d’éliminer la rouille sur les métaux</w:t>
      </w:r>
      <w:r w:rsidR="00072121">
        <w:t>.</w:t>
      </w:r>
    </w:p>
    <w:p w14:paraId="1752BA22" w14:textId="2F11F88A" w:rsidR="00DF3100" w:rsidRDefault="00536F54">
      <w:pPr>
        <w:pStyle w:val="ECEcorps"/>
      </w:pPr>
      <w:r>
        <w:t xml:space="preserve">Il est également utilisé dans certaines synthèses chimiques où la présence d’eau doit être proscrite, il est alors nécessaire d’utiliser de l’acide oxalique anhydre. Mais celui-ci est difficile à stocker et a tendance à s’hydrater, c’est-à-dire à </w:t>
      </w:r>
      <w:r w:rsidR="000E0D09">
        <w:t>absorber de l’eau</w:t>
      </w:r>
      <w:r>
        <w:t xml:space="preserve">, au cours du temps. </w:t>
      </w:r>
    </w:p>
    <w:p w14:paraId="5BBB75BA" w14:textId="33B00858" w:rsidR="00DF3100" w:rsidRDefault="00072121">
      <w:pPr>
        <w:pStyle w:val="ECEcorps"/>
      </w:pPr>
      <w:r>
        <w:rPr>
          <w:b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0500EC" wp14:editId="6844865F">
                <wp:simplePos x="0" y="0"/>
                <wp:positionH relativeFrom="column">
                  <wp:posOffset>4402455</wp:posOffset>
                </wp:positionH>
                <wp:positionV relativeFrom="paragraph">
                  <wp:posOffset>41414</wp:posOffset>
                </wp:positionV>
                <wp:extent cx="2000250" cy="241300"/>
                <wp:effectExtent l="0" t="0" r="0" b="635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2000250" cy="24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6B81F9" w14:textId="77777777" w:rsidR="00DF3100" w:rsidRDefault="00536F54">
                            <w:pPr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Formule topologique de l’acide oxalique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10500E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46.65pt;margin-top:3.25pt;width:157.5pt;height:1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" fillcolor="white [3201]" stroked="f" strokeweight=".5pt">
                <v:textbox>
                  <w:txbxContent>
                    <w:p w14:paraId="206B81F9" w14:textId="77777777" w:rsidR="00DF3100" w:rsidRDefault="00536F54">
                      <w:pPr>
                        <w:rPr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i/>
                          <w:iCs/>
                          <w:sz w:val="16"/>
                          <w:szCs w:val="16"/>
                        </w:rPr>
                        <w:t>Formule topologique de l’acide oxalique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632A0A0" w14:textId="7E483898" w:rsidR="00072121" w:rsidRDefault="00072121">
      <w:pPr>
        <w:pStyle w:val="ECEcorps"/>
      </w:pPr>
    </w:p>
    <w:p w14:paraId="26DF231D" w14:textId="5961841C" w:rsidR="00072121" w:rsidRDefault="00072121">
      <w:pPr>
        <w:pStyle w:val="ECEcorps"/>
      </w:pPr>
    </w:p>
    <w:p w14:paraId="58E1C6CF" w14:textId="1CCE72B1" w:rsidR="00072121" w:rsidRDefault="00072121">
      <w:pPr>
        <w:pStyle w:val="ECEcorps"/>
      </w:pPr>
    </w:p>
    <w:p w14:paraId="41A0566F" w14:textId="0DA214D3" w:rsidR="00DF3100" w:rsidRDefault="00536F54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de déterminer l</w:t>
      </w:r>
      <w:r w:rsidR="006B148A">
        <w:rPr>
          <w:b/>
          <w:i/>
          <w:sz w:val="24"/>
        </w:rPr>
        <w:t xml:space="preserve">e degré d’hydratation </w:t>
      </w:r>
      <w:r>
        <w:rPr>
          <w:b/>
          <w:i/>
          <w:sz w:val="24"/>
        </w:rPr>
        <w:t>de l’acide oxalique présent dans l’échantillon mis à votre disposition.</w:t>
      </w:r>
    </w:p>
    <w:p w14:paraId="3F20AF73" w14:textId="77777777" w:rsidR="00DF3100" w:rsidRDefault="00536F54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 w:clear="all"/>
      </w: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63F7A16C" w14:textId="77777777" w:rsidR="00DF3100" w:rsidRDefault="00DF3100">
      <w:pPr>
        <w:pStyle w:val="ECEcorps"/>
      </w:pPr>
    </w:p>
    <w:p w14:paraId="2DF8937D" w14:textId="3AF6EC0F" w:rsidR="00DF3100" w:rsidRDefault="00536F5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À propos de l’acide oxalique</w:t>
      </w:r>
    </w:p>
    <w:p w14:paraId="343EE16D" w14:textId="77777777" w:rsidR="00DF3100" w:rsidRDefault="00DF3100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DF3100" w14:paraId="0253B0B9" w14:textId="77777777">
        <w:tc>
          <w:tcPr>
            <w:tcW w:w="3398" w:type="dxa"/>
          </w:tcPr>
          <w:p w14:paraId="6B5AE338" w14:textId="77777777" w:rsidR="00DF3100" w:rsidRDefault="00DF3100">
            <w:pPr>
              <w:pStyle w:val="ECEcorps"/>
            </w:pPr>
          </w:p>
        </w:tc>
        <w:tc>
          <w:tcPr>
            <w:tcW w:w="3398" w:type="dxa"/>
            <w:vAlign w:val="center"/>
          </w:tcPr>
          <w:p w14:paraId="18CBC645" w14:textId="3938BA4F" w:rsidR="00DF3100" w:rsidRDefault="00536F54">
            <w:pPr>
              <w:pStyle w:val="ECEcorps"/>
              <w:jc w:val="center"/>
            </w:pPr>
            <w:r>
              <w:t>Acide oxalique pur</w:t>
            </w:r>
            <w:r w:rsidR="00454368">
              <w:t xml:space="preserve"> </w:t>
            </w:r>
            <w:r w:rsidR="00454368" w:rsidRPr="00F42677">
              <w:t>(non hydraté)</w:t>
            </w:r>
          </w:p>
        </w:tc>
        <w:tc>
          <w:tcPr>
            <w:tcW w:w="3398" w:type="dxa"/>
            <w:vAlign w:val="center"/>
          </w:tcPr>
          <w:p w14:paraId="5C820055" w14:textId="77777777" w:rsidR="00DF3100" w:rsidRDefault="00536F54">
            <w:pPr>
              <w:pStyle w:val="ECEcorps"/>
              <w:jc w:val="center"/>
            </w:pPr>
            <w:r>
              <w:t>Acide oxalique hydraté</w:t>
            </w:r>
          </w:p>
        </w:tc>
      </w:tr>
      <w:tr w:rsidR="00DF3100" w14:paraId="1AACC842" w14:textId="77777777" w:rsidTr="00F42677">
        <w:tc>
          <w:tcPr>
            <w:tcW w:w="3398" w:type="dxa"/>
            <w:vAlign w:val="center"/>
          </w:tcPr>
          <w:p w14:paraId="5FAF55A3" w14:textId="77777777" w:rsidR="00DF3100" w:rsidRDefault="00536F54">
            <w:pPr>
              <w:pStyle w:val="ECEcorps"/>
              <w:jc w:val="center"/>
            </w:pPr>
            <w:r>
              <w:t>Formule</w:t>
            </w:r>
          </w:p>
        </w:tc>
        <w:tc>
          <w:tcPr>
            <w:tcW w:w="3398" w:type="dxa"/>
            <w:vAlign w:val="center"/>
          </w:tcPr>
          <w:p w14:paraId="64754367" w14:textId="77777777" w:rsidR="00DF3100" w:rsidRDefault="005B557A" w:rsidP="00F42677">
            <w:pPr>
              <w:pStyle w:val="ECEcorps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m:t>H</m:t>
                    </m:r>
                  </m:e>
                  <m:sub>
                    <m:r>
                      <m:rPr>
                        <m:nor/>
                      </m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m:t>O</m:t>
                    </m:r>
                  </m:e>
                  <m:sub>
                    <m:r>
                      <m:rPr>
                        <m:nor/>
                      </m:rPr>
                      <m:t>4</m:t>
                    </m:r>
                  </m:sub>
                </m:sSub>
              </m:oMath>
            </m:oMathPara>
          </w:p>
        </w:tc>
        <w:tc>
          <w:tcPr>
            <w:tcW w:w="3398" w:type="dxa"/>
            <w:vAlign w:val="center"/>
          </w:tcPr>
          <w:p w14:paraId="14488C9D" w14:textId="3FDE0BA3" w:rsidR="00DF3100" w:rsidRPr="00C05416" w:rsidRDefault="005B557A" w:rsidP="00F42677">
            <w:pPr>
              <w:pStyle w:val="ECEcorps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m:t>H</m:t>
                    </m:r>
                  </m:e>
                  <m:sub>
                    <m:r>
                      <m:rPr>
                        <m:nor/>
                      </m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m:t>O</m:t>
                    </m:r>
                  </m:e>
                  <m:sub>
                    <m:r>
                      <m:rPr>
                        <m:nor/>
                      </m:rPr>
                      <m:t>4</m:t>
                    </m:r>
                  </m:sub>
                </m:sSub>
                <m:r>
                  <m:rPr>
                    <m:nor/>
                  </m:rPr>
                  <m:t xml:space="preserve">, </m:t>
                </m:r>
                <m:r>
                  <m:rPr>
                    <m:nor/>
                  </m:rPr>
                  <w:rPr>
                    <w:i/>
                    <w:iCs/>
                  </w:rPr>
                  <m:t>p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Cambria Math"/>
                      </w:rPr>
                      <m:t xml:space="preserve"> </m:t>
                    </m:r>
                    <m:r>
                      <m:rPr>
                        <m:nor/>
                      </m:rPr>
                      <m:t>H</m:t>
                    </m:r>
                  </m:e>
                  <m:sub>
                    <m:r>
                      <m:rPr>
                        <m:nor/>
                      </m:rPr>
                      <m:t>2</m:t>
                    </m:r>
                  </m:sub>
                </m:sSub>
                <m:r>
                  <m:rPr>
                    <m:nor/>
                  </m:rPr>
                  <w:rPr>
                    <w:rFonts w:ascii="Cambria Math"/>
                  </w:rPr>
                  <m:t>O</m:t>
                </m:r>
              </m:oMath>
            </m:oMathPara>
          </w:p>
          <w:p w14:paraId="01A7BA90" w14:textId="0F74B98F" w:rsidR="00C05416" w:rsidRDefault="00F42677" w:rsidP="00F42677">
            <w:pPr>
              <w:pStyle w:val="ECEcorps"/>
              <w:jc w:val="center"/>
            </w:pPr>
            <w:r>
              <w:t xml:space="preserve">Avec </w:t>
            </w:r>
            <w:r w:rsidRPr="00F42677">
              <w:rPr>
                <w:i/>
                <w:iCs/>
              </w:rPr>
              <w:t>p</w:t>
            </w:r>
            <w:r>
              <w:t xml:space="preserve"> le degré d’hydratation compris entre 0 et 2</w:t>
            </w:r>
          </w:p>
        </w:tc>
      </w:tr>
      <w:tr w:rsidR="00DF3100" w14:paraId="118A544B" w14:textId="77777777">
        <w:tc>
          <w:tcPr>
            <w:tcW w:w="3398" w:type="dxa"/>
            <w:vAlign w:val="center"/>
          </w:tcPr>
          <w:p w14:paraId="718B4A51" w14:textId="77777777" w:rsidR="00DF3100" w:rsidRDefault="00536F54">
            <w:pPr>
              <w:pStyle w:val="ECEcorps"/>
              <w:jc w:val="center"/>
            </w:pPr>
            <w:r>
              <w:t>État physique à pression atmosphérique et température ambiante</w:t>
            </w:r>
          </w:p>
        </w:tc>
        <w:tc>
          <w:tcPr>
            <w:tcW w:w="3398" w:type="dxa"/>
            <w:vAlign w:val="center"/>
          </w:tcPr>
          <w:p w14:paraId="07AEEF91" w14:textId="77777777" w:rsidR="00DF3100" w:rsidRDefault="00536F54">
            <w:pPr>
              <w:pStyle w:val="ECEcorps"/>
              <w:jc w:val="center"/>
            </w:pPr>
            <w:r>
              <w:t>Solide</w:t>
            </w:r>
          </w:p>
        </w:tc>
        <w:tc>
          <w:tcPr>
            <w:tcW w:w="3398" w:type="dxa"/>
            <w:vAlign w:val="center"/>
          </w:tcPr>
          <w:p w14:paraId="5D29395C" w14:textId="77777777" w:rsidR="00DF3100" w:rsidRDefault="00536F54">
            <w:pPr>
              <w:pStyle w:val="ECEcorps"/>
              <w:jc w:val="center"/>
            </w:pPr>
            <w:r>
              <w:t>Solide</w:t>
            </w:r>
          </w:p>
        </w:tc>
      </w:tr>
      <w:tr w:rsidR="00DF3100" w14:paraId="2E5CD2D8" w14:textId="77777777">
        <w:tc>
          <w:tcPr>
            <w:tcW w:w="3398" w:type="dxa"/>
            <w:vAlign w:val="center"/>
          </w:tcPr>
          <w:p w14:paraId="02D07ADF" w14:textId="77777777" w:rsidR="00DF3100" w:rsidRDefault="00536F54">
            <w:pPr>
              <w:pStyle w:val="ECEcorps"/>
              <w:jc w:val="center"/>
            </w:pPr>
            <w:r>
              <w:t>Masse molaire</w:t>
            </w:r>
          </w:p>
        </w:tc>
        <w:tc>
          <w:tcPr>
            <w:tcW w:w="3398" w:type="dxa"/>
            <w:vAlign w:val="center"/>
          </w:tcPr>
          <w:p w14:paraId="13066447" w14:textId="77777777" w:rsidR="00DF3100" w:rsidRDefault="00536F54">
            <w:pPr>
              <w:pStyle w:val="ECEcorps"/>
              <w:jc w:val="center"/>
            </w:pPr>
            <w:r>
              <w:t xml:space="preserve">90,0 </w:t>
            </w:r>
            <w:proofErr w:type="spellStart"/>
            <m:oMath>
              <m:r>
                <m:rPr>
                  <m:nor/>
                </m:rPr>
                <m:t>g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</w:rPr>
                <m:t>∙</m:t>
              </m:r>
              <m:r>
                <m:rPr>
                  <m:nor/>
                </m:rPr>
                <m:t>mo</m:t>
              </m:r>
              <w:proofErr w:type="spellEnd"/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m:t>l</m:t>
                  </m:r>
                </m:e>
                <m:sup>
                  <m:r>
                    <m:rPr>
                      <m:nor/>
                    </m:rPr>
                    <m:t>–1</m:t>
                  </m:r>
                </m:sup>
              </m:sSup>
            </m:oMath>
          </w:p>
        </w:tc>
        <w:tc>
          <w:tcPr>
            <w:tcW w:w="3398" w:type="dxa"/>
            <w:vAlign w:val="center"/>
          </w:tcPr>
          <w:p w14:paraId="7741B229" w14:textId="5C3655B1" w:rsidR="00DF3100" w:rsidRDefault="00536F54">
            <w:pPr>
              <w:pStyle w:val="ECEcorps"/>
              <w:jc w:val="center"/>
            </w:pPr>
            <w:r>
              <w:t xml:space="preserve">90,0 + </w:t>
            </w:r>
            <w:r w:rsidR="00F42677" w:rsidRPr="00F42677">
              <w:rPr>
                <w:i/>
                <w:iCs/>
              </w:rPr>
              <w:t>p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>
              <w:t xml:space="preserve">18,0 </w:t>
            </w:r>
            <w:proofErr w:type="spellStart"/>
            <m:oMath>
              <m:r>
                <m:rPr>
                  <m:nor/>
                </m:rPr>
                <m:t>g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</w:rPr>
                <m:t>∙</m:t>
              </m:r>
              <m:r>
                <m:rPr>
                  <m:nor/>
                </m:rPr>
                <m:t>mo</m:t>
              </m:r>
              <w:proofErr w:type="spellEnd"/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m:t>l</m:t>
                  </m:r>
                </m:e>
                <m:sup>
                  <m:r>
                    <m:rPr>
                      <m:nor/>
                    </m:rPr>
                    <m:t>–1</m:t>
                  </m:r>
                </m:sup>
              </m:sSup>
            </m:oMath>
          </w:p>
        </w:tc>
      </w:tr>
      <w:tr w:rsidR="00DF3100" w14:paraId="67C2D1C2" w14:textId="77777777">
        <w:tc>
          <w:tcPr>
            <w:tcW w:w="3398" w:type="dxa"/>
            <w:vAlign w:val="center"/>
          </w:tcPr>
          <w:p w14:paraId="3A117D5D" w14:textId="77777777" w:rsidR="00DF3100" w:rsidRDefault="00536F54">
            <w:pPr>
              <w:pStyle w:val="ECEcorps"/>
              <w:jc w:val="center"/>
            </w:pPr>
            <w:r>
              <w:t>Pictogramme de sécurité</w:t>
            </w:r>
          </w:p>
        </w:tc>
        <w:tc>
          <w:tcPr>
            <w:tcW w:w="3398" w:type="dxa"/>
            <w:vAlign w:val="center"/>
          </w:tcPr>
          <w:p w14:paraId="4C032AE8" w14:textId="77777777" w:rsidR="00DF3100" w:rsidRDefault="007E5777">
            <w:pPr>
              <w:pStyle w:val="ECEcorps"/>
              <w:jc w:val="center"/>
            </w:pPr>
            <w:r>
              <w:rPr>
                <w:noProof/>
              </w:rPr>
              <w:object w:dxaOrig="1000" w:dyaOrig="1000" w14:anchorId="51F7517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50.25pt;height:50.25pt;mso-width-percent:0;mso-height-percent:0;mso-wrap-distance-left:0;mso-wrap-distance-top:0;mso-wrap-distance-right:0;mso-wrap-distance-bottom:0;mso-width-percent:0;mso-height-percent:0" o:ole="">
                  <v:imagedata r:id="rId9" o:title=""/>
                  <o:lock v:ext="edit" rotation="t"/>
                </v:shape>
                <o:OLEObject Type="Embed" ProgID="PBrush" ShapeID="_x0000_i1025" DrawAspect="Content" ObjectID="_1831896739" r:id="rId10"/>
              </w:object>
            </w:r>
          </w:p>
        </w:tc>
        <w:tc>
          <w:tcPr>
            <w:tcW w:w="3398" w:type="dxa"/>
            <w:vAlign w:val="center"/>
          </w:tcPr>
          <w:p w14:paraId="3091E31E" w14:textId="77777777" w:rsidR="00DF3100" w:rsidRDefault="007E5777">
            <w:pPr>
              <w:pStyle w:val="ECEcorps"/>
              <w:jc w:val="center"/>
            </w:pPr>
            <w:r>
              <w:rPr>
                <w:noProof/>
              </w:rPr>
              <w:object w:dxaOrig="1000" w:dyaOrig="1000" w14:anchorId="17FDFC1C">
                <v:shape id="_x0000_i1026" type="#_x0000_t75" alt="" style="width:50.25pt;height:50.25pt;mso-width-percent:0;mso-height-percent:0;mso-wrap-distance-left:0;mso-wrap-distance-top:0;mso-wrap-distance-right:0;mso-wrap-distance-bottom:0;mso-width-percent:0;mso-height-percent:0" o:ole="">
                  <v:imagedata r:id="rId9" o:title=""/>
                  <o:lock v:ext="edit" rotation="t"/>
                </v:shape>
                <o:OLEObject Type="Embed" ProgID="PBrush" ShapeID="_x0000_i1026" DrawAspect="Content" ObjectID="_1831896740" r:id="rId11"/>
              </w:object>
            </w:r>
          </w:p>
        </w:tc>
      </w:tr>
    </w:tbl>
    <w:p w14:paraId="37F5F3D7" w14:textId="77777777" w:rsidR="00DF3100" w:rsidRDefault="00DF3100">
      <w:pPr>
        <w:pStyle w:val="ECEcorps"/>
      </w:pPr>
    </w:p>
    <w:p w14:paraId="71985C50" w14:textId="77777777" w:rsidR="00DF3100" w:rsidRDefault="00DF3100">
      <w:pPr>
        <w:pStyle w:val="ECEcorps"/>
      </w:pPr>
    </w:p>
    <w:p w14:paraId="7D1A67C3" w14:textId="13D1F75B" w:rsidR="00DF3100" w:rsidRDefault="00536F54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Courbe de simulation du titrage d’une solution aqueuse d’acide oxalique</w:t>
      </w:r>
    </w:p>
    <w:p w14:paraId="790BAA09" w14:textId="77777777" w:rsidR="00DF3100" w:rsidRDefault="00DF3100">
      <w:pPr>
        <w:pStyle w:val="ECEcorps"/>
      </w:pPr>
    </w:p>
    <w:p w14:paraId="4F870165" w14:textId="06B71ECA" w:rsidR="00DF3100" w:rsidRDefault="00536F54">
      <w:pPr>
        <w:pStyle w:val="ECEcorps"/>
      </w:pPr>
      <w:r>
        <w:t>Le titrage</w:t>
      </w:r>
      <w:r w:rsidR="00562242">
        <w:t xml:space="preserve"> avec suivi</w:t>
      </w:r>
      <w:r>
        <w:t xml:space="preserve"> pH-métrique d’un</w:t>
      </w:r>
      <w:r w:rsidR="00F16D37">
        <w:t xml:space="preserve"> volume </w:t>
      </w:r>
      <w:r w:rsidR="00F16D37" w:rsidRPr="00562242">
        <w:rPr>
          <w:i/>
          <w:iCs/>
        </w:rPr>
        <w:t>V</w:t>
      </w:r>
      <w:r w:rsidR="00F16D37">
        <w:rPr>
          <w:vertAlign w:val="subscript"/>
        </w:rPr>
        <w:t>s</w:t>
      </w:r>
      <w:r w:rsidR="00562242">
        <w:t xml:space="preserve"> = 20,0 </w:t>
      </w:r>
      <w:proofErr w:type="spellStart"/>
      <w:r w:rsidR="00562242">
        <w:t>mL</w:t>
      </w:r>
      <w:proofErr w:type="spellEnd"/>
      <w:r w:rsidR="00F16D37">
        <w:t xml:space="preserve"> d’une</w:t>
      </w:r>
      <w:r>
        <w:t xml:space="preserve"> solution aqueuse d’acide oxalique</w:t>
      </w:r>
      <w:r w:rsidR="00BA03F5">
        <w:t xml:space="preserve"> pur</w:t>
      </w:r>
      <w:r w:rsidR="00651BCB">
        <w:t>,</w:t>
      </w:r>
      <w:r w:rsidR="00F16D37">
        <w:t xml:space="preserve"> de concentration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m:t>0</m:t>
            </m:r>
          </m:sub>
        </m:sSub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5,0×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10</m:t>
            </m:r>
          </m:e>
          <m:sup>
            <m:r>
              <w:rPr>
                <w:rFonts w:ascii="Cambria Math" w:hAnsi="Cambria Math"/>
              </w:rPr>
              <m:t>-</m:t>
            </m:r>
            <m:r>
              <m:rPr>
                <m:nor/>
              </m:rPr>
              <m:t>2</m:t>
            </m:r>
          </m:sup>
        </m:sSup>
        <m:r>
          <m:rPr>
            <m:nor/>
          </m:rPr>
          <m:t xml:space="preserve"> mol</m:t>
        </m:r>
        <m:r>
          <m:rPr>
            <m:nor/>
          </m:rP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w:rPr>
                <w:rFonts w:ascii="Cambria Math" w:hAnsi="Cambria Math"/>
              </w:rPr>
              <m:t>-</m:t>
            </m:r>
            <m:r>
              <m:rPr>
                <m:nor/>
              </m:rPr>
              <m:t>1</m:t>
            </m:r>
          </m:sup>
        </m:sSup>
      </m:oMath>
      <w:r w:rsidR="00651BCB">
        <w:t>,</w:t>
      </w:r>
      <w:r>
        <w:t xml:space="preserve"> par une solution aqueuse d’hydroxyde de sodium</w:t>
      </w:r>
      <w:r w:rsidR="00F16D37">
        <w:t xml:space="preserve"> de concentration</w:t>
      </w:r>
      <w:r w:rsidR="00562242">
        <w:br/>
      </w:r>
      <m:oMath>
        <m:r>
          <m:rPr>
            <m:nor/>
          </m:rPr>
          <w:rPr>
            <w:i/>
            <w:iCs/>
          </w:rPr>
          <m:t>C</m:t>
        </m:r>
        <m:r>
          <w:rPr>
            <w:rFonts w:ascii="Cambria Math" w:hAnsi="Cambria Math"/>
          </w:rPr>
          <m:t>=</m:t>
        </m:r>
        <m:r>
          <m:rPr>
            <m:nor/>
          </m:rPr>
          <m:t>0,10 mol</m:t>
        </m:r>
        <m:r>
          <m:rPr>
            <m:nor/>
          </m:rPr>
          <w:rPr>
            <w:rFonts w:ascii="Cambria Math" w:hAnsi="Cambria Math" w:cs="Cambria Math"/>
          </w:rPr>
          <m:t>⋅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w:rPr>
                <w:rFonts w:ascii="Cambria Math" w:hAnsi="Cambria Math"/>
              </w:rPr>
              <m:t>-</m:t>
            </m:r>
            <m:r>
              <m:rPr>
                <m:nor/>
              </m:rPr>
              <m:t>1</m:t>
            </m:r>
          </m:sup>
        </m:sSup>
      </m:oMath>
      <w:r>
        <w:t xml:space="preserve"> a été simulé à l’aide d</w:t>
      </w:r>
      <w:r w:rsidR="00072121">
        <w:t xml:space="preserve">’une application dédiée. </w:t>
      </w:r>
      <w:r>
        <w:t>Les résultats de la simulation permettant d’obtenir la courbe ci-dessous sont disponibles dans le tableur-grapheur ouvert sur l’ordinateur.</w:t>
      </w:r>
      <w:r w:rsidR="00645EBF">
        <w:t xml:space="preserve"> L’équivalence du titrage est obtenue lors du saut de pH le plus </w:t>
      </w:r>
      <w:r w:rsidR="00087D3B">
        <w:t>important</w:t>
      </w:r>
      <w:r w:rsidR="00645EBF">
        <w:t>.</w:t>
      </w:r>
    </w:p>
    <w:p w14:paraId="7953BFDB" w14:textId="77777777" w:rsidR="00651BCB" w:rsidRDefault="00651BCB">
      <w:pPr>
        <w:pStyle w:val="ECEcorps"/>
        <w:rPr>
          <w:noProof/>
        </w:rPr>
      </w:pPr>
    </w:p>
    <w:p w14:paraId="0883D113" w14:textId="2CB365C3" w:rsidR="00F16D37" w:rsidRDefault="00651BCB">
      <w:pPr>
        <w:pStyle w:val="ECEcorps"/>
      </w:pPr>
      <w:r>
        <w:rPr>
          <w:noProof/>
        </w:rPr>
        <w:drawing>
          <wp:inline distT="0" distB="0" distL="0" distR="0" wp14:anchorId="71A9397D" wp14:editId="211B3B01">
            <wp:extent cx="6736080" cy="3284809"/>
            <wp:effectExtent l="0" t="0" r="7620" b="0"/>
            <wp:docPr id="110584317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2582" cy="3287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C361CB" w14:textId="03F26755" w:rsidR="00DF3100" w:rsidRDefault="00DF3100">
      <w:pPr>
        <w:pStyle w:val="ECEcorps"/>
      </w:pPr>
    </w:p>
    <w:p w14:paraId="348BB04B" w14:textId="532F6E37" w:rsidR="00DF3100" w:rsidRDefault="00536F5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Informations pour le titrage de l’acide oxalique par les ions hydroxyde</w:t>
      </w:r>
    </w:p>
    <w:p w14:paraId="7D0BB36C" w14:textId="77777777" w:rsidR="00072121" w:rsidRPr="00072121" w:rsidRDefault="00072121" w:rsidP="00072121">
      <w:pPr>
        <w:pStyle w:val="ECEcorps"/>
      </w:pPr>
    </w:p>
    <w:p w14:paraId="6DF6F759" w14:textId="77777777" w:rsidR="00DF3100" w:rsidRDefault="00536F54">
      <w:pPr>
        <w:pStyle w:val="ECEcorps"/>
        <w:numPr>
          <w:ilvl w:val="0"/>
          <w:numId w:val="11"/>
        </w:numPr>
      </w:pPr>
      <w:r>
        <w:t>Équation de la réaction support du titrage :</w:t>
      </w:r>
    </w:p>
    <w:p w14:paraId="367C03D3" w14:textId="014A3403" w:rsidR="00DF3100" w:rsidRPr="00072121" w:rsidRDefault="005B557A">
      <w:pPr>
        <w:pStyle w:val="ECEcorps"/>
        <w:rPr>
          <w:lang w:val="pt-BR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lang w:val="pt-BR"/>
                </w:rPr>
                <m:t>C</m:t>
              </m:r>
            </m:e>
            <m:sub>
              <m:r>
                <m:rPr>
                  <m:nor/>
                </m:rPr>
                <w:rPr>
                  <w:lang w:val="pt-BR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lang w:val="pt-BR"/>
                </w:rPr>
                <m:t>H</m:t>
              </m:r>
            </m:e>
            <m:sub>
              <m:r>
                <m:rPr>
                  <m:nor/>
                </m:rPr>
                <w:rPr>
                  <w:lang w:val="pt-BR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lang w:val="pt-BR"/>
                </w:rPr>
                <m:t>O</m:t>
              </m:r>
            </m:e>
            <m:sub>
              <m:r>
                <m:rPr>
                  <m:nor/>
                </m:rPr>
                <w:rPr>
                  <w:lang w:val="pt-BR"/>
                </w:rPr>
                <m:t>4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lang w:val="pt-BR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+</m:t>
          </m:r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2 H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w:rPr>
                  <w:lang w:val="pt-BR"/>
                </w:rPr>
                <m:t>O</m:t>
              </m:r>
            </m:e>
            <m:sup>
              <m:r>
                <m:rPr>
                  <m:nor/>
                </m:rPr>
                <w:rPr>
                  <w:lang w:val="pt-BR"/>
                </w:rPr>
                <m:t>-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lang w:val="pt-BR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→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lang w:val="pt-BR"/>
                </w:rPr>
                <m:t xml:space="preserve"> </m:t>
              </m:r>
              <m:r>
                <m:rPr>
                  <m:nor/>
                </m:rPr>
                <w:rPr>
                  <w:lang w:val="pt-BR"/>
                </w:rPr>
                <m:t>C</m:t>
              </m:r>
            </m:e>
            <m:sub>
              <m:r>
                <m:rPr>
                  <m:nor/>
                </m:rPr>
                <w:rPr>
                  <w:lang w:val="pt-BR"/>
                </w:rPr>
                <m:t>2</m:t>
              </m:r>
            </m:sub>
          </m:sSub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m:rPr>
                  <m:nor/>
                </m:rPr>
                <w:rPr>
                  <w:lang w:val="pt-BR"/>
                </w:rPr>
                <m:t>O</m:t>
              </m:r>
            </m:e>
            <m:sub>
              <m:r>
                <m:rPr>
                  <m:nor/>
                </m:rPr>
                <w:rPr>
                  <w:lang w:val="pt-BR"/>
                </w:rPr>
                <m:t>4</m:t>
              </m:r>
            </m:sub>
            <m:sup>
              <m:r>
                <m:rPr>
                  <m:nor/>
                </m:rPr>
                <w:rPr>
                  <w:lang w:val="pt-BR"/>
                </w:rPr>
                <m:t>2-</m:t>
              </m:r>
            </m:sup>
          </m:sSub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lang w:val="pt-BR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+</m:t>
          </m:r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 xml:space="preserve">2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lang w:val="pt-BR"/>
                </w:rPr>
                <m:t>H</m:t>
              </m:r>
            </m:e>
            <m:sub>
              <m:r>
                <m:rPr>
                  <m:nor/>
                </m:rPr>
                <w:rPr>
                  <w:lang w:val="pt-BR"/>
                </w:rPr>
                <m:t>2</m:t>
              </m:r>
            </m:sub>
          </m:sSub>
          <m:r>
            <m:rPr>
              <m:nor/>
            </m:rPr>
            <w:rPr>
              <w:lang w:val="pt-BR"/>
            </w:rPr>
            <m:t>O(</m:t>
          </m:r>
          <m:r>
            <m:rPr>
              <m:scr m:val="script"/>
              <m:sty m:val="p"/>
            </m:rPr>
            <w:rPr>
              <w:rFonts w:ascii="Cambria Math" w:hAnsi="Cambria Math"/>
              <w:lang w:val="pt-BR"/>
            </w:rPr>
            <m:t>l</m:t>
          </m:r>
          <m:r>
            <m:rPr>
              <m:nor/>
            </m:rPr>
            <w:rPr>
              <w:lang w:val="pt-BR"/>
            </w:rPr>
            <m:t>)</m:t>
          </m:r>
        </m:oMath>
      </m:oMathPara>
    </w:p>
    <w:p w14:paraId="4EAB7E1C" w14:textId="77777777" w:rsidR="00DF3100" w:rsidRDefault="00536F54">
      <w:pPr>
        <w:pStyle w:val="ECEcorps"/>
        <w:numPr>
          <w:ilvl w:val="0"/>
          <w:numId w:val="11"/>
        </w:numPr>
      </w:pPr>
      <w:r>
        <w:t xml:space="preserve">À l’équivalence, la relation entre la quantité de matière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n</m:t>
            </m:r>
          </m:e>
          <m:sub>
            <m:r>
              <m:rPr>
                <m:nor/>
              </m:rPr>
              <m:t>A</m:t>
            </m:r>
          </m:sub>
        </m:sSub>
      </m:oMath>
      <w:r>
        <w:t xml:space="preserve"> d’acide oxalique titré et la quantité de matière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n</m:t>
            </m:r>
          </m:e>
          <m:sub>
            <m:r>
              <m:rPr>
                <m:nor/>
              </m:rPr>
              <m:t>B,eq</m:t>
            </m:r>
          </m:sub>
        </m:sSub>
      </m:oMath>
      <w:r>
        <w:t xml:space="preserve"> d’ions hydroxyde versés est :</w:t>
      </w:r>
    </w:p>
    <w:bookmarkStart w:id="6" w:name="_Hlk209460817"/>
    <w:p w14:paraId="2411C473" w14:textId="77777777" w:rsidR="00DF3100" w:rsidRDefault="005B557A">
      <w:pPr>
        <w:pStyle w:val="ECEcorps"/>
        <w:ind w:left="7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</w:rPr>
                <m:t>n</m:t>
              </m:r>
            </m:e>
            <m:sub>
              <m:r>
                <m:rPr>
                  <m:nor/>
                </m:rPr>
                <m:t>A</m:t>
              </m:r>
            </m:sub>
          </m:sSub>
          <m:r>
            <m:rPr>
              <m:nor/>
            </m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n</m:t>
                  </m:r>
                </m:e>
                <m:sub>
                  <m:r>
                    <m:rPr>
                      <m:nor/>
                    </m:rPr>
                    <m:t>B,eq</m:t>
                  </m:r>
                </m:sub>
              </m:sSub>
            </m:num>
            <m:den>
              <m:r>
                <m:rPr>
                  <m:nor/>
                </m:rPr>
                <m:t>2</m:t>
              </m:r>
            </m:den>
          </m:f>
        </m:oMath>
      </m:oMathPara>
      <w:bookmarkEnd w:id="6"/>
    </w:p>
    <w:p w14:paraId="1752CA06" w14:textId="508B26AE" w:rsidR="00DF3100" w:rsidRDefault="00536F54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Quelques indicateurs colorés et leurs zones de virage</w:t>
      </w:r>
    </w:p>
    <w:p w14:paraId="1250AC28" w14:textId="77777777" w:rsidR="00072121" w:rsidRPr="00072121" w:rsidRDefault="00072121" w:rsidP="00072121">
      <w:pPr>
        <w:pStyle w:val="ECEcorps"/>
      </w:pPr>
    </w:p>
    <w:tbl>
      <w:tblPr>
        <w:tblStyle w:val="Grilledutableau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207"/>
        <w:gridCol w:w="2189"/>
        <w:gridCol w:w="2419"/>
        <w:gridCol w:w="2196"/>
      </w:tblGrid>
      <w:tr w:rsidR="00F64C62" w14:paraId="387D1618" w14:textId="77777777" w:rsidTr="00F64C62">
        <w:trPr>
          <w:trHeight w:val="626"/>
        </w:trPr>
        <w:tc>
          <w:tcPr>
            <w:tcW w:w="3207" w:type="dxa"/>
            <w:vAlign w:val="center"/>
          </w:tcPr>
          <w:p w14:paraId="1887B25D" w14:textId="6DE780AB" w:rsidR="00F64C62" w:rsidRDefault="00F64C62">
            <w:pPr>
              <w:jc w:val="center"/>
              <w:rPr>
                <w:b/>
                <w:bCs/>
                <w:sz w:val="24"/>
                <w:szCs w:val="24"/>
              </w:rPr>
            </w:pPr>
            <w:r w:rsidRPr="00645EBF">
              <w:rPr>
                <w:b/>
                <w:bCs/>
                <w:color w:val="auto"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ndicateur coloré</w:t>
            </w:r>
          </w:p>
        </w:tc>
        <w:tc>
          <w:tcPr>
            <w:tcW w:w="2189" w:type="dxa"/>
            <w:vAlign w:val="center"/>
          </w:tcPr>
          <w:p w14:paraId="28D247B8" w14:textId="77777777" w:rsidR="00F64C62" w:rsidRDefault="00F64C6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Couleur acide</w:t>
            </w:r>
          </w:p>
        </w:tc>
        <w:tc>
          <w:tcPr>
            <w:tcW w:w="2419" w:type="dxa"/>
            <w:vAlign w:val="center"/>
          </w:tcPr>
          <w:p w14:paraId="26161E95" w14:textId="77777777" w:rsidR="00F64C62" w:rsidRDefault="00F64C6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Couleur basique</w:t>
            </w:r>
          </w:p>
        </w:tc>
        <w:tc>
          <w:tcPr>
            <w:tcW w:w="2196" w:type="dxa"/>
            <w:vAlign w:val="center"/>
          </w:tcPr>
          <w:p w14:paraId="39A01192" w14:textId="710D7A77" w:rsidR="00F64C62" w:rsidRDefault="00F64C6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pH de la zone de virage</w:t>
            </w:r>
          </w:p>
        </w:tc>
      </w:tr>
      <w:tr w:rsidR="00F64C62" w14:paraId="06B8ADCC" w14:textId="77777777" w:rsidTr="00F64C62">
        <w:trPr>
          <w:trHeight w:val="307"/>
        </w:trPr>
        <w:tc>
          <w:tcPr>
            <w:tcW w:w="3207" w:type="dxa"/>
            <w:vAlign w:val="center"/>
          </w:tcPr>
          <w:p w14:paraId="31C558F5" w14:textId="77777777" w:rsidR="00F64C62" w:rsidRDefault="00F64C6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Bleu de bromothymol</w:t>
            </w:r>
          </w:p>
        </w:tc>
        <w:tc>
          <w:tcPr>
            <w:tcW w:w="2189" w:type="dxa"/>
            <w:vAlign w:val="center"/>
          </w:tcPr>
          <w:p w14:paraId="7AF2785B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jaune</w:t>
            </w:r>
          </w:p>
        </w:tc>
        <w:tc>
          <w:tcPr>
            <w:tcW w:w="2419" w:type="dxa"/>
            <w:vAlign w:val="center"/>
          </w:tcPr>
          <w:p w14:paraId="43003498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bleu</w:t>
            </w:r>
          </w:p>
        </w:tc>
        <w:tc>
          <w:tcPr>
            <w:tcW w:w="2196" w:type="dxa"/>
            <w:vAlign w:val="center"/>
          </w:tcPr>
          <w:p w14:paraId="79EE76AB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 – 7,6</w:t>
            </w:r>
          </w:p>
        </w:tc>
      </w:tr>
      <w:tr w:rsidR="00F64C62" w14:paraId="24519230" w14:textId="77777777" w:rsidTr="00F64C62">
        <w:trPr>
          <w:trHeight w:val="319"/>
        </w:trPr>
        <w:tc>
          <w:tcPr>
            <w:tcW w:w="3207" w:type="dxa"/>
            <w:shd w:val="clear" w:color="auto" w:fill="FFFFFF" w:themeFill="background1"/>
            <w:vAlign w:val="center"/>
          </w:tcPr>
          <w:p w14:paraId="75F025B3" w14:textId="77777777" w:rsidR="00F64C62" w:rsidRDefault="00F64C6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Bleu de thymol</w:t>
            </w:r>
          </w:p>
        </w:tc>
        <w:tc>
          <w:tcPr>
            <w:tcW w:w="2189" w:type="dxa"/>
            <w:shd w:val="clear" w:color="auto" w:fill="FFFFFF" w:themeFill="background1"/>
            <w:vAlign w:val="center"/>
          </w:tcPr>
          <w:p w14:paraId="18E345E1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jaune</w:t>
            </w:r>
          </w:p>
        </w:tc>
        <w:tc>
          <w:tcPr>
            <w:tcW w:w="2419" w:type="dxa"/>
            <w:shd w:val="clear" w:color="auto" w:fill="FFFFFF" w:themeFill="background1"/>
            <w:vAlign w:val="center"/>
          </w:tcPr>
          <w:p w14:paraId="61FC9A55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bleu</w:t>
            </w:r>
          </w:p>
        </w:tc>
        <w:tc>
          <w:tcPr>
            <w:tcW w:w="2196" w:type="dxa"/>
            <w:shd w:val="clear" w:color="auto" w:fill="FFFFFF" w:themeFill="background1"/>
            <w:vAlign w:val="center"/>
          </w:tcPr>
          <w:p w14:paraId="32B9A7AA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8,0 – 9,6 </w:t>
            </w:r>
          </w:p>
        </w:tc>
      </w:tr>
      <w:tr w:rsidR="00F64C62" w14:paraId="7DEBBAA5" w14:textId="77777777" w:rsidTr="00F64C62">
        <w:trPr>
          <w:trHeight w:val="307"/>
        </w:trPr>
        <w:tc>
          <w:tcPr>
            <w:tcW w:w="3207" w:type="dxa"/>
            <w:shd w:val="clear" w:color="auto" w:fill="FFFFFF" w:themeFill="background1"/>
            <w:vAlign w:val="center"/>
          </w:tcPr>
          <w:p w14:paraId="68620AEF" w14:textId="77777777" w:rsidR="00F64C62" w:rsidRDefault="00F64C6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Rouge de crésol</w:t>
            </w:r>
          </w:p>
        </w:tc>
        <w:tc>
          <w:tcPr>
            <w:tcW w:w="2189" w:type="dxa"/>
            <w:shd w:val="clear" w:color="auto" w:fill="FFFFFF" w:themeFill="background1"/>
            <w:vAlign w:val="center"/>
          </w:tcPr>
          <w:p w14:paraId="144A6851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jaune</w:t>
            </w:r>
          </w:p>
        </w:tc>
        <w:tc>
          <w:tcPr>
            <w:tcW w:w="2419" w:type="dxa"/>
            <w:shd w:val="clear" w:color="auto" w:fill="FFFFFF" w:themeFill="background1"/>
            <w:vAlign w:val="center"/>
          </w:tcPr>
          <w:p w14:paraId="059097B6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violet</w:t>
            </w:r>
          </w:p>
        </w:tc>
        <w:tc>
          <w:tcPr>
            <w:tcW w:w="2196" w:type="dxa"/>
            <w:shd w:val="clear" w:color="auto" w:fill="FFFFFF" w:themeFill="background1"/>
            <w:vAlign w:val="center"/>
          </w:tcPr>
          <w:p w14:paraId="1718E202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 – 8,8</w:t>
            </w:r>
          </w:p>
        </w:tc>
      </w:tr>
      <w:tr w:rsidR="00F64C62" w14:paraId="224AB6CE" w14:textId="77777777" w:rsidTr="00F64C62">
        <w:trPr>
          <w:trHeight w:val="319"/>
        </w:trPr>
        <w:tc>
          <w:tcPr>
            <w:tcW w:w="3207" w:type="dxa"/>
            <w:vAlign w:val="center"/>
          </w:tcPr>
          <w:p w14:paraId="7B169EE5" w14:textId="4088CECB" w:rsidR="00F64C62" w:rsidRDefault="00F64C6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Hélianthine </w:t>
            </w:r>
          </w:p>
        </w:tc>
        <w:tc>
          <w:tcPr>
            <w:tcW w:w="2189" w:type="dxa"/>
            <w:vAlign w:val="center"/>
          </w:tcPr>
          <w:p w14:paraId="2DDAC16F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rouge</w:t>
            </w:r>
          </w:p>
        </w:tc>
        <w:tc>
          <w:tcPr>
            <w:tcW w:w="2419" w:type="dxa"/>
            <w:vAlign w:val="center"/>
          </w:tcPr>
          <w:p w14:paraId="3C3B9E1C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jaune</w:t>
            </w:r>
          </w:p>
        </w:tc>
        <w:tc>
          <w:tcPr>
            <w:tcW w:w="2196" w:type="dxa"/>
            <w:vAlign w:val="center"/>
          </w:tcPr>
          <w:p w14:paraId="562D6965" w14:textId="77777777" w:rsidR="00F64C62" w:rsidRDefault="00F6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3,1 – 4,4</w:t>
            </w:r>
          </w:p>
        </w:tc>
      </w:tr>
    </w:tbl>
    <w:p w14:paraId="2753C658" w14:textId="77777777" w:rsidR="00DF3100" w:rsidRDefault="00DF3100">
      <w:pPr>
        <w:pStyle w:val="ECEcorps"/>
      </w:pPr>
    </w:p>
    <w:p w14:paraId="4042A78B" w14:textId="7B6E9635" w:rsidR="00DF3100" w:rsidRDefault="00536F5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Calcul du degré d’hydratation </w:t>
      </w:r>
      <m:oMath>
        <m:r>
          <m:rPr>
            <m:nor/>
          </m:rPr>
          <w:rPr>
            <w:i/>
            <w:iCs/>
            <w:sz w:val="24"/>
            <w:szCs w:val="24"/>
          </w:rPr>
          <m:t>p</m:t>
        </m:r>
      </m:oMath>
      <w:r>
        <w:rPr>
          <w:sz w:val="24"/>
          <w:szCs w:val="24"/>
        </w:rPr>
        <w:t xml:space="preserve"> de l’acide oxalique</w:t>
      </w:r>
    </w:p>
    <w:p w14:paraId="03264EE1" w14:textId="77777777" w:rsidR="00072121" w:rsidRPr="00072121" w:rsidRDefault="00072121" w:rsidP="00072121">
      <w:pPr>
        <w:pStyle w:val="ECEcorps"/>
      </w:pPr>
    </w:p>
    <w:p w14:paraId="0319E27B" w14:textId="3792F3FC" w:rsidR="00BA03F5" w:rsidRDefault="00BA03F5" w:rsidP="00BA03F5">
      <w:pPr>
        <w:pStyle w:val="ECEcorps"/>
      </w:pPr>
      <w:r>
        <w:t xml:space="preserve">L’acide oxalique a tendance à s’hydrater, c’est-à-dire à absorber de l’eau, au cours du temps. </w:t>
      </w:r>
    </w:p>
    <w:p w14:paraId="3779D71F" w14:textId="529FC555" w:rsidR="003E495A" w:rsidRDefault="00536F54">
      <w:pPr>
        <w:pStyle w:val="ECEcorps"/>
      </w:pPr>
      <w:r>
        <w:t>Le degré d’hydratation de l’acide oxalique</w:t>
      </w:r>
      <w:r w:rsidR="006B148A">
        <w:t>,</w:t>
      </w:r>
      <w:r>
        <w:t xml:space="preserve"> noté </w:t>
      </w:r>
      <m:oMath>
        <m:r>
          <m:rPr>
            <m:nor/>
          </m:rPr>
          <w:rPr>
            <w:i/>
            <w:iCs/>
          </w:rPr>
          <m:t>p</m:t>
        </m:r>
      </m:oMath>
      <w:r w:rsidR="006B148A">
        <w:rPr>
          <w:iCs/>
        </w:rPr>
        <w:t>,</w:t>
      </w:r>
      <w:r>
        <w:t xml:space="preserve"> correspond au nombre de</w:t>
      </w:r>
      <w:r w:rsidR="006F0F2C">
        <w:t xml:space="preserve"> </w:t>
      </w:r>
      <w:r>
        <w:t xml:space="preserve">molécules d’eau par </w:t>
      </w:r>
      <w:r w:rsidR="006F0F2C">
        <w:t xml:space="preserve">molécule d’acide </w:t>
      </w:r>
      <w:r>
        <w:t>oxalique</w:t>
      </w:r>
      <w:r w:rsidR="00C05416">
        <w:t xml:space="preserve"> </w:t>
      </w:r>
      <w:r w:rsidR="00C05416" w:rsidRPr="006B148A">
        <w:t>lorsqu’il est hydraté</w:t>
      </w:r>
      <w:r>
        <w:t>.</w:t>
      </w:r>
    </w:p>
    <w:p w14:paraId="74F565C0" w14:textId="37759D2C" w:rsidR="003E495A" w:rsidRPr="006B148A" w:rsidRDefault="003E495A">
      <w:pPr>
        <w:pStyle w:val="ECEcorps"/>
      </w:pPr>
      <w:r w:rsidRPr="006B148A">
        <w:t>Pour déterminer son degr</w:t>
      </w:r>
      <w:r w:rsidR="006B148A" w:rsidRPr="006B148A">
        <w:t>é</w:t>
      </w:r>
      <w:r w:rsidRPr="006B148A">
        <w:t xml:space="preserve"> d’hydratation, un </w:t>
      </w:r>
      <w:r w:rsidR="006B148A" w:rsidRPr="006B148A">
        <w:t>échantillon</w:t>
      </w:r>
      <w:r w:rsidRPr="006B148A">
        <w:t xml:space="preserve"> de masse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m:t>pesée</m:t>
            </m:r>
          </m:sub>
        </m:sSub>
      </m:oMath>
      <w:r w:rsidRPr="006B148A">
        <w:t xml:space="preserve"> d’acide oxalique hydraté est dissou</w:t>
      </w:r>
      <w:r w:rsidR="004E71F2">
        <w:t>s</w:t>
      </w:r>
      <w:r w:rsidRPr="006B148A">
        <w:t xml:space="preserve"> pour pr</w:t>
      </w:r>
      <w:r w:rsidR="006B148A" w:rsidRPr="006B148A">
        <w:t>é</w:t>
      </w:r>
      <w:r w:rsidRPr="006B148A">
        <w:t xml:space="preserve">parer une solution aqueuse de volume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V</m:t>
            </m:r>
          </m:e>
          <m:sub>
            <m:r>
              <m:rPr>
                <m:nor/>
              </m:rPr>
              <m:t>S</m:t>
            </m:r>
          </m:sub>
        </m:sSub>
      </m:oMath>
      <w:r w:rsidRPr="006B148A">
        <w:t xml:space="preserve">. La solution </w:t>
      </w:r>
      <w:r w:rsidR="006B148A" w:rsidRPr="006B148A">
        <w:t xml:space="preserve">S </w:t>
      </w:r>
      <w:r w:rsidRPr="006B148A">
        <w:t xml:space="preserve">obtenue est ensuite dosée par </w:t>
      </w:r>
      <w:r w:rsidR="006B148A" w:rsidRPr="006B148A">
        <w:t xml:space="preserve">une solution aqueuse d’hydroxyde de sodium afin de déterminer sa concentration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m:t>S</m:t>
            </m:r>
            <m:r>
              <m:rPr>
                <m:nor/>
              </m:rPr>
              <w:rPr>
                <w:rFonts w:ascii="Cambria Math"/>
              </w:rPr>
              <m:t xml:space="preserve">, </m:t>
            </m:r>
            <m:r>
              <m:rPr>
                <m:nor/>
              </m:rPr>
              <m:t>réelle</m:t>
            </m:r>
          </m:sub>
        </m:sSub>
      </m:oMath>
      <w:r w:rsidR="006B148A" w:rsidRPr="006B148A">
        <w:t>.</w:t>
      </w:r>
    </w:p>
    <w:p w14:paraId="582248C6" w14:textId="3B56CB28" w:rsidR="00DF3100" w:rsidRDefault="00536F54">
      <w:pPr>
        <w:pStyle w:val="ECEcorps"/>
      </w:pPr>
      <w:r>
        <w:t xml:space="preserve">Dans le cadre de cette épreuve, </w:t>
      </w:r>
      <w:r w:rsidR="006B148A">
        <w:t xml:space="preserve">le degré d’hydratation </w:t>
      </w:r>
      <w:r w:rsidR="006B148A" w:rsidRPr="006B148A">
        <w:rPr>
          <w:i/>
          <w:iCs/>
        </w:rPr>
        <w:t>p</w:t>
      </w:r>
      <w:r>
        <w:t xml:space="preserve"> peut être déterminé à l’aide de la relation suivante :</w:t>
      </w:r>
    </w:p>
    <w:p w14:paraId="364EC67F" w14:textId="202A0E42" w:rsidR="00DF3100" w:rsidRPr="00072121" w:rsidRDefault="00536F54">
      <w:pPr>
        <w:pStyle w:val="ECEcorps"/>
        <w:rPr>
          <w:lang w:val="pt-BR"/>
        </w:rPr>
      </w:pPr>
      <w:bookmarkStart w:id="7" w:name="_Hlk209461106"/>
      <m:oMathPara>
        <m:oMath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w:rPr>
              <w:i/>
              <w:iCs/>
              <w:lang w:val="pt-BR"/>
            </w:rPr>
            <m:t>p</m:t>
          </m:r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=</m:t>
          </m:r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w:rPr>
                  <w:lang w:val="pt-BR"/>
                </w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  <w:lang w:val="pt-BR"/>
                </w:rPr>
                <m:t>M</m:t>
              </m:r>
              <m:r>
                <m:rPr>
                  <m:nor/>
                </m:rPr>
                <w:rPr>
                  <w:lang w:val="pt-BR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pt-BR"/>
                    </w:rPr>
                    <m:t>H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lang w:val="pt-BR"/>
                </w:rPr>
                <m:t>O)</m:t>
              </m:r>
            </m:den>
          </m:f>
          <m:r>
            <m:rPr>
              <m:nor/>
            </m:rPr>
            <w:rPr>
              <w:rFonts w:ascii="Cambria Math" w:hAnsi="Cambria Math"/>
              <w:lang w:val="pt-BR"/>
            </w:rPr>
            <m:t>∙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  <w:iCs/>
                          <w:lang w:val="pt-BR"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lang w:val="pt-BR"/>
                        </w:rPr>
                        <m:t>pesée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  <w:iCs/>
                          <w:lang w:val="pt-BR"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lang w:val="pt-BR"/>
                        </w:rPr>
                        <m:t>S</m:t>
                      </m:r>
                      <m:r>
                        <m:rPr>
                          <m:nor/>
                        </m:rPr>
                        <w:rPr>
                          <w:rFonts w:ascii="Cambria Math"/>
                          <w:lang w:val="pt-BR"/>
                        </w:rPr>
                        <m:t xml:space="preserve">, </m:t>
                      </m:r>
                      <m:r>
                        <m:rPr>
                          <m:nor/>
                        </m:rPr>
                        <w:rPr>
                          <w:lang w:val="pt-BR"/>
                        </w:rPr>
                        <m:t>réelle</m:t>
                      </m:r>
                    </m:sub>
                  </m:sSub>
                  <m:r>
                    <m:rPr>
                      <m:nor/>
                    </m:rPr>
                    <w:rPr>
                      <w:rFonts w:ascii="Cambria Math" w:hAnsi="Cambria Math"/>
                      <w:lang w:val="pt-BR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  <w:iCs/>
                          <w:lang w:val="pt-BR"/>
                        </w:rPr>
                        <m:t>V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lang w:val="pt-BR"/>
                        </w:rPr>
                        <m:t>S</m:t>
                      </m:r>
                    </m:sub>
                  </m:sSub>
                </m:den>
              </m:f>
              <m:r>
                <m:rPr>
                  <m:nor/>
                </m:rPr>
                <w:rPr>
                  <w:lang w:val="pt-BR"/>
                </w:rPr>
                <m:t xml:space="preserve"> </m:t>
              </m:r>
              <m:r>
                <m:rPr>
                  <m:nor/>
                </m:rPr>
                <w:rPr>
                  <w:rFonts w:ascii="Cambria Math"/>
                  <w:lang w:val="pt-BR"/>
                </w:rPr>
                <m:t>–</m:t>
              </m:r>
              <m:r>
                <m:rPr>
                  <m:nor/>
                </m:rPr>
                <w:rPr>
                  <w:lang w:val="pt-BR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  <w:lang w:val="pt-BR"/>
                </w:rPr>
                <m:t>M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lang w:val="pt-BR"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lang w:val="pt-BR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lang w:val="pt-BR"/>
                        </w:rPr>
                        <m:t>H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lang w:val="pt-BR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lang w:val="pt-BR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lang w:val="pt-BR"/>
                        </w:rPr>
                        <m:t>4</m:t>
                      </m:r>
                    </m:sub>
                  </m:sSub>
                </m:e>
              </m:d>
            </m:e>
          </m:d>
        </m:oMath>
      </m:oMathPara>
      <w:bookmarkEnd w:id="7"/>
    </w:p>
    <w:p w14:paraId="0721C591" w14:textId="77777777" w:rsidR="00DF3100" w:rsidRDefault="00536F54">
      <w:pPr>
        <w:pStyle w:val="ECEcorps"/>
      </w:pPr>
      <w:r>
        <w:t>Avec :</w:t>
      </w:r>
    </w:p>
    <w:p w14:paraId="35A4ED78" w14:textId="177B0D77" w:rsidR="00DF3100" w:rsidRDefault="005B557A">
      <w:pPr>
        <w:pStyle w:val="ECEcorps"/>
        <w:numPr>
          <w:ilvl w:val="0"/>
          <w:numId w:val="11"/>
        </w:numPr>
      </w:pP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pesée</m:t>
            </m:r>
          </m:sub>
        </m:sSub>
      </m:oMath>
      <w:r w:rsidR="00536F54">
        <w:t xml:space="preserve"> la masse d’</w:t>
      </w:r>
      <w:r w:rsidR="0008372F">
        <w:t xml:space="preserve">acide </w:t>
      </w:r>
      <w:r w:rsidR="00536F54">
        <w:t>oxalique pesée pour préparer la solution S</w:t>
      </w:r>
      <w:r w:rsidR="00105CB0">
        <w:t>,</w:t>
      </w:r>
      <w:r w:rsidR="00536F54">
        <w:t xml:space="preserve"> en g</w:t>
      </w:r>
      <w:r w:rsidR="00C05416">
        <w:t> </w:t>
      </w:r>
      <w:r w:rsidR="00C05416" w:rsidRPr="006B148A">
        <w:t>;</w:t>
      </w:r>
    </w:p>
    <w:p w14:paraId="1336EB5D" w14:textId="66C04E38" w:rsidR="00DF3100" w:rsidRDefault="005B557A">
      <w:pPr>
        <w:pStyle w:val="ECEcorps"/>
        <w:numPr>
          <w:ilvl w:val="0"/>
          <w:numId w:val="11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m:t>S</m:t>
            </m:r>
            <m:r>
              <m:rPr>
                <m:nor/>
              </m:rPr>
              <w:rPr>
                <w:rFonts w:ascii="Cambria Math"/>
              </w:rPr>
              <m:t>,</m:t>
            </m:r>
            <m:r>
              <m:rPr>
                <m:nor/>
              </m:rPr>
              <m:t xml:space="preserve"> réelle</m:t>
            </m:r>
          </m:sub>
        </m:sSub>
      </m:oMath>
      <w:r w:rsidR="00536F54">
        <w:t xml:space="preserve"> la concentration réelle en acide oxalique de la solution S déterminée grâce au titrage</w:t>
      </w:r>
      <w:r w:rsidR="00105CB0">
        <w:t>,</w:t>
      </w:r>
      <w:r w:rsidR="00536F54">
        <w:t xml:space="preserve"> en </w:t>
      </w:r>
      <m:oMath>
        <m:r>
          <m:rPr>
            <m:nor/>
          </m:rPr>
          <m:t>mol</m:t>
        </m:r>
        <m:r>
          <m:rPr>
            <m:nor/>
          </m:rP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m:t>–1</m:t>
            </m:r>
          </m:sup>
        </m:sSup>
        <m:r>
          <w:rPr>
            <w:rFonts w:ascii="Cambria Math" w:hAnsi="Cambria Math"/>
          </w:rPr>
          <m:t> </m:t>
        </m:r>
      </m:oMath>
      <w:r w:rsidR="00C05416" w:rsidRPr="006B148A">
        <w:t>;</w:t>
      </w:r>
    </w:p>
    <w:p w14:paraId="3CF00F4D" w14:textId="7A8598D3" w:rsidR="00DF3100" w:rsidRDefault="005B557A">
      <w:pPr>
        <w:pStyle w:val="ECEcorps"/>
        <w:numPr>
          <w:ilvl w:val="0"/>
          <w:numId w:val="11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V</m:t>
            </m:r>
          </m:e>
          <m:sub>
            <m:r>
              <m:rPr>
                <m:nor/>
              </m:rPr>
              <m:t>S</m:t>
            </m:r>
          </m:sub>
        </m:sSub>
      </m:oMath>
      <w:r w:rsidR="00536F54">
        <w:t xml:space="preserve"> le volume de la solution S</w:t>
      </w:r>
      <w:r w:rsidR="00105CB0">
        <w:t>,</w:t>
      </w:r>
      <w:r w:rsidR="00536F54">
        <w:t xml:space="preserve"> en L</w:t>
      </w:r>
      <w:r w:rsidR="00464496">
        <w:t> ;</w:t>
      </w:r>
    </w:p>
    <w:p w14:paraId="6087BF82" w14:textId="7244D8BA" w:rsidR="00DF3100" w:rsidRDefault="00536F54">
      <w:pPr>
        <w:pStyle w:val="ECEcorps"/>
        <w:numPr>
          <w:ilvl w:val="0"/>
          <w:numId w:val="11"/>
        </w:numPr>
      </w:pPr>
      <m:oMath>
        <m:r>
          <m:rPr>
            <m:nor/>
          </m:rPr>
          <w:rPr>
            <w:i/>
            <w:iCs/>
          </w:rPr>
          <m:t>M</m:t>
        </m:r>
        <m:r>
          <m:rPr>
            <m:nor/>
          </m:rPr>
          <m:t>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H</m:t>
            </m:r>
          </m:e>
          <m:sub>
            <m:r>
              <m:rPr>
                <m:nor/>
              </m:rPr>
              <m:t>2</m:t>
            </m:r>
          </m:sub>
        </m:sSub>
        <m:r>
          <m:rPr>
            <m:nor/>
          </m:rPr>
          <m:t>O)</m:t>
        </m:r>
      </m:oMath>
      <w:r>
        <w:t xml:space="preserve"> et </w:t>
      </w:r>
      <w:bookmarkStart w:id="8" w:name="_Hlk209459241"/>
      <w:r>
        <w:rPr>
          <w:i/>
        </w:rPr>
        <w:t>M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C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H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4</m:t>
                </m:r>
              </m:sub>
            </m:sSub>
          </m:e>
        </m:d>
      </m:oMath>
      <w:bookmarkEnd w:id="8"/>
      <w:r>
        <w:t xml:space="preserve"> les masses molaires respectives de l’eau et de l’acide oxalique</w:t>
      </w:r>
      <w:r w:rsidR="00105CB0">
        <w:t>,</w:t>
      </w:r>
      <w:r>
        <w:t xml:space="preserve"> en </w:t>
      </w:r>
      <m:oMath>
        <m:r>
          <m:rPr>
            <m:nor/>
          </m:rPr>
          <m:t>g</m:t>
        </m:r>
        <m:r>
          <m:rPr>
            <m:nor/>
          </m:rPr>
          <w:rPr>
            <w:rFonts w:ascii="Cambria Math" w:hAnsi="Cambria Math"/>
          </w:rPr>
          <m:t>∙</m:t>
        </m:r>
        <m:r>
          <m:rPr>
            <m:nor/>
          </m:rPr>
          <m:t>mo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m:t>–1</m:t>
            </m:r>
          </m:sup>
        </m:sSup>
        <m:r>
          <w:rPr>
            <w:rFonts w:ascii="Cambria Math" w:hAnsi="Cambria Math"/>
          </w:rPr>
          <m:t> </m:t>
        </m:r>
      </m:oMath>
      <w:r w:rsidR="00464496">
        <w:t>;</w:t>
      </w:r>
    </w:p>
    <w:p w14:paraId="47B92231" w14:textId="0CFE6BD2" w:rsidR="00DF3100" w:rsidRDefault="0008372F" w:rsidP="0008372F">
      <w:pPr>
        <w:pStyle w:val="ECEcorps"/>
        <w:numPr>
          <w:ilvl w:val="0"/>
          <w:numId w:val="11"/>
        </w:numPr>
      </w:pPr>
      <m:oMath>
        <m:r>
          <m:rPr>
            <m:nor/>
          </m:rPr>
          <w:rPr>
            <w:i/>
            <w:iCs/>
          </w:rPr>
          <m:t>p</m:t>
        </m:r>
      </m:oMath>
      <w:r>
        <w:t xml:space="preserve"> </w:t>
      </w:r>
      <w:proofErr w:type="gramStart"/>
      <w:r>
        <w:t>le</w:t>
      </w:r>
      <w:proofErr w:type="gramEnd"/>
      <w:r>
        <w:t xml:space="preserve"> degré d’hydratation de l’acide oxalique</w:t>
      </w:r>
      <w:r w:rsidR="00105CB0">
        <w:t>,</w:t>
      </w:r>
      <w:r>
        <w:t xml:space="preserve"> sans dimension</w:t>
      </w:r>
      <w:r w:rsidR="00C05416" w:rsidRPr="006B148A">
        <w:t>.</w:t>
      </w:r>
    </w:p>
    <w:p w14:paraId="2C082660" w14:textId="77777777" w:rsidR="00072121" w:rsidRDefault="00072121" w:rsidP="00072121">
      <w:pPr>
        <w:pStyle w:val="ECEcorps"/>
      </w:pPr>
    </w:p>
    <w:p w14:paraId="65C0CE19" w14:textId="77777777" w:rsidR="00D21F0D" w:rsidRDefault="00D21F0D" w:rsidP="00072121">
      <w:pPr>
        <w:pStyle w:val="ECEcorps"/>
      </w:pPr>
    </w:p>
    <w:p w14:paraId="594716FA" w14:textId="77777777" w:rsidR="00D21F0D" w:rsidRDefault="00D21F0D" w:rsidP="00072121">
      <w:pPr>
        <w:pStyle w:val="ECEcorps"/>
      </w:pPr>
    </w:p>
    <w:p w14:paraId="343CD6D7" w14:textId="77777777" w:rsidR="00D21F0D" w:rsidRDefault="00D21F0D" w:rsidP="00072121">
      <w:pPr>
        <w:pStyle w:val="ECEcorps"/>
      </w:pPr>
    </w:p>
    <w:p w14:paraId="41CA14BE" w14:textId="77777777" w:rsidR="00D21F0D" w:rsidRDefault="00D21F0D" w:rsidP="00072121">
      <w:pPr>
        <w:pStyle w:val="ECEcorps"/>
      </w:pPr>
    </w:p>
    <w:p w14:paraId="24617E9B" w14:textId="77777777" w:rsidR="00DF3100" w:rsidRDefault="00DF3100">
      <w:pPr>
        <w:pStyle w:val="ECEcorps"/>
      </w:pPr>
    </w:p>
    <w:p w14:paraId="4B42BAC1" w14:textId="77777777" w:rsidR="00DF3100" w:rsidRDefault="00536F5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5A034BAA" w14:textId="77777777" w:rsidR="00DF3100" w:rsidRDefault="00DF3100">
      <w:pPr>
        <w:rPr>
          <w:b/>
          <w:bCs/>
          <w:color w:val="auto"/>
          <w:u w:val="single"/>
        </w:rPr>
      </w:pPr>
    </w:p>
    <w:p w14:paraId="4B7A9286" w14:textId="1F493C05" w:rsidR="00DF3100" w:rsidRDefault="00536F54">
      <w:pPr>
        <w:pStyle w:val="ECEpartie"/>
        <w:numPr>
          <w:ilvl w:val="0"/>
          <w:numId w:val="6"/>
        </w:numPr>
        <w:rPr>
          <w:b w:val="0"/>
          <w:bCs/>
        </w:rPr>
      </w:pPr>
      <w:bookmarkStart w:id="9" w:name="_Toc482638814"/>
      <w:bookmarkStart w:id="10" w:name="_Toc500182691"/>
      <w:r>
        <w:t xml:space="preserve">Préparation de la solution </w:t>
      </w:r>
      <w:r w:rsidR="00BE7F6D">
        <w:t xml:space="preserve">S </w:t>
      </w:r>
      <w:r>
        <w:t xml:space="preserve">d’acide oxalique </w:t>
      </w:r>
      <w:r>
        <w:rPr>
          <w:b w:val="0"/>
          <w:bCs/>
        </w:rPr>
        <w:t>(15 minutes conseillées</w:t>
      </w:r>
      <w:bookmarkEnd w:id="9"/>
      <w:bookmarkEnd w:id="10"/>
      <w:r>
        <w:rPr>
          <w:b w:val="0"/>
          <w:bCs/>
        </w:rPr>
        <w:t>)</w:t>
      </w:r>
    </w:p>
    <w:p w14:paraId="3853E962" w14:textId="77777777" w:rsidR="00DF3100" w:rsidRDefault="00DF3100">
      <w:pPr>
        <w:pStyle w:val="ECEcorps"/>
      </w:pPr>
    </w:p>
    <w:p w14:paraId="062D321E" w14:textId="74AD8340" w:rsidR="00DF3100" w:rsidRDefault="00536F54">
      <w:pPr>
        <w:pStyle w:val="ECEcorps"/>
        <w:numPr>
          <w:ilvl w:val="1"/>
          <w:numId w:val="6"/>
        </w:numPr>
      </w:pPr>
      <w:r>
        <w:t>Proposer un protocole permettant de préparer par dissolution</w:t>
      </w:r>
      <w:r w:rsidR="003E495A">
        <w:t xml:space="preserve"> </w:t>
      </w:r>
      <w:r w:rsidR="003E495A" w:rsidRPr="00BE7F6D">
        <w:t>d’acide oxalique</w:t>
      </w:r>
      <w:r w:rsidR="00072121">
        <w:t xml:space="preserve"> solide</w:t>
      </w:r>
      <w:r w:rsidR="00BE7F6D">
        <w:t>,</w:t>
      </w:r>
      <w:r w:rsidR="003E495A" w:rsidRPr="00BE7F6D">
        <w:t xml:space="preserve"> un volume</w:t>
      </w:r>
      <m:oMath>
        <m:r>
          <m:rPr>
            <m:nor/>
          </m:rPr>
          <w:rPr>
            <w:rFonts w:ascii="Cambria Math" w:hAnsi="Cambria Math"/>
            <w:i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V</m:t>
            </m:r>
          </m:e>
          <m:sub>
            <m:r>
              <m:rPr>
                <m:nor/>
              </m:rPr>
              <m:t>S</m:t>
            </m:r>
          </m:sub>
        </m:sSub>
        <m:r>
          <w:rPr>
            <w:rFonts w:ascii="Cambria Math" w:hAnsi="Cambria Math"/>
          </w:rPr>
          <m:t>=</m:t>
        </m:r>
      </m:oMath>
      <w:r>
        <w:t>100,0 mL d’une solution aqueuse S d’acide oxalique de concentration</w:t>
      </w:r>
      <w:r w:rsidR="003E495A">
        <w:t xml:space="preserve"> </w:t>
      </w:r>
      <w:r w:rsidR="003E495A" w:rsidRPr="00BE7F6D">
        <w:t>en quantité de matière</w:t>
      </w:r>
      <w:r w:rsidRPr="00BE7F6D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m:t>0</m:t>
            </m:r>
          </m:sub>
        </m:sSub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5,0×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10</m:t>
            </m:r>
          </m:e>
          <m:sup>
            <m:r>
              <m:rPr>
                <m:nor/>
              </m:rPr>
              <m:t>-2</m:t>
            </m:r>
          </m:sup>
        </m:sSup>
        <m:r>
          <m:rPr>
            <m:nor/>
          </m:rPr>
          <m:t xml:space="preserve"> mol</m:t>
        </m:r>
        <m:r>
          <m:rPr>
            <m:nor/>
          </m:rP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m:t>-1</m:t>
            </m:r>
          </m:sup>
        </m:sSup>
      </m:oMath>
      <w:bookmarkStart w:id="11" w:name="_Hlk209459266"/>
      <w:bookmarkEnd w:id="11"/>
      <w:r>
        <w:t>.</w:t>
      </w:r>
    </w:p>
    <w:p w14:paraId="0EE85064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160B53E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615C5BD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C4FE909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0ABC992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960D4EF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3592ECB" w14:textId="17495EEC" w:rsidR="00D21F0D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9776756" w14:textId="77777777" w:rsidR="00D21F0D" w:rsidRDefault="00D21F0D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F3100" w14:paraId="77D8809E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5C2FCBF8" w14:textId="77777777" w:rsidR="00DF3100" w:rsidRDefault="00DF310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30B0E314" w14:textId="77777777" w:rsidR="00DF3100" w:rsidRDefault="00536F54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0D044505" w14:textId="77777777" w:rsidR="00DF3100" w:rsidRDefault="00DF310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F3100" w14:paraId="6FA90439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7CB2941" w14:textId="77777777" w:rsidR="00DF3100" w:rsidRDefault="00536F5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7FA8631" w14:textId="77777777" w:rsidR="00DF3100" w:rsidRDefault="00536F54">
            <w:pPr>
              <w:pStyle w:val="ECEappel"/>
              <w:framePr w:wrap="around"/>
            </w:pPr>
            <w:r>
              <w:t>Appeler le professeur pour lui présenter le protocole</w:t>
            </w:r>
          </w:p>
          <w:p w14:paraId="40FAEF00" w14:textId="77777777" w:rsidR="00DF3100" w:rsidRDefault="00536F54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5AFADBC" w14:textId="77777777" w:rsidR="00DF3100" w:rsidRDefault="00536F54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4213F385" w14:textId="77777777" w:rsidR="00DF3100" w:rsidRDefault="00DF3100">
      <w:pPr>
        <w:pStyle w:val="ECEcorps"/>
      </w:pPr>
    </w:p>
    <w:p w14:paraId="7765DA1A" w14:textId="77777777" w:rsidR="00072121" w:rsidRDefault="00536F54" w:rsidP="00072121">
      <w:pPr>
        <w:pStyle w:val="ECEcorps"/>
        <w:numPr>
          <w:ilvl w:val="1"/>
          <w:numId w:val="6"/>
        </w:numPr>
      </w:pPr>
      <w:r>
        <w:t>Mettre en œuvre le protocole</w:t>
      </w:r>
      <w:r w:rsidR="004C5368">
        <w:t>. La pesée au centième de gramme étant délicate, on acceptera une valeur approchée de la masse déterminée à la question précédente. N</w:t>
      </w:r>
      <w:r>
        <w:t xml:space="preserve">oter la masse d’acide oxalique </w:t>
      </w:r>
      <w:r w:rsidR="00C27B8F" w:rsidRPr="006B148A">
        <w:t xml:space="preserve">effectivement </w:t>
      </w:r>
      <w:r>
        <w:t>pesée</w:t>
      </w:r>
      <w:r w:rsidR="00C27B8F">
        <w:t xml:space="preserve"> </w:t>
      </w:r>
      <w:r w:rsidR="00C27B8F" w:rsidRPr="006B148A">
        <w:t>en cohérence avec la précision de la balance</w:t>
      </w:r>
      <w:r w:rsidRPr="006B148A">
        <w:t> </w:t>
      </w:r>
      <w:r>
        <w:t xml:space="preserve">: </w:t>
      </w:r>
    </w:p>
    <w:p w14:paraId="1272160D" w14:textId="3EE52269" w:rsidR="00DF3100" w:rsidRDefault="005B557A" w:rsidP="00072121">
      <w:pPr>
        <w:pStyle w:val="ECEcorps"/>
        <w:ind w:left="360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m:t>pesée</m:t>
            </m:r>
          </m:sub>
        </m:sSub>
        <m:r>
          <w:rPr>
            <w:rFonts w:ascii="Cambria Math" w:hAnsi="Cambria Math"/>
          </w:rPr>
          <m:t>=</m:t>
        </m:r>
      </m:oMath>
      <w:r w:rsidR="00536F54" w:rsidRPr="00072121">
        <w:t>…………………...</w:t>
      </w:r>
      <w:r w:rsidR="00483439">
        <w:rPr>
          <w:b/>
          <w:bCs/>
        </w:rPr>
        <w:br/>
      </w:r>
    </w:p>
    <w:p w14:paraId="3DC4B74E" w14:textId="470A401A" w:rsidR="00DF3100" w:rsidRDefault="00C27B8F">
      <w:pPr>
        <w:pStyle w:val="ECEcorps"/>
        <w:numPr>
          <w:ilvl w:val="1"/>
          <w:numId w:val="6"/>
        </w:numPr>
      </w:pPr>
      <w:r>
        <w:t xml:space="preserve">En déduire par le calcul </w:t>
      </w:r>
      <w:r w:rsidR="00536F54">
        <w:t>la concentration</w:t>
      </w:r>
      <w:r w:rsidR="00483439">
        <w:t xml:space="preserve"> effective</w:t>
      </w:r>
      <w:r w:rsidR="00536F54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m:t>S</m:t>
            </m:r>
          </m:sub>
        </m:sSub>
        <m:r>
          <w:rPr>
            <w:rFonts w:ascii="Cambria Math" w:hAnsi="Cambria Math"/>
          </w:rPr>
          <m:t xml:space="preserve"> </m:t>
        </m:r>
      </m:oMath>
      <w:r w:rsidR="00536F54">
        <w:t>de la solution S préparée</w:t>
      </w:r>
      <w:r w:rsidR="00BE7F6D">
        <w:t>.</w:t>
      </w:r>
    </w:p>
    <w:p w14:paraId="3EB90939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BA39A09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E592C4E" w14:textId="77777777" w:rsidR="00DF3100" w:rsidRDefault="00DF3100">
      <w:pPr>
        <w:pStyle w:val="ECEcorps"/>
        <w:ind w:left="360"/>
      </w:pPr>
    </w:p>
    <w:p w14:paraId="2E05686E" w14:textId="77777777" w:rsidR="00DF3100" w:rsidRDefault="00DF3100">
      <w:pPr>
        <w:pStyle w:val="ECEcorps"/>
        <w:ind w:left="360"/>
      </w:pPr>
    </w:p>
    <w:p w14:paraId="2084115D" w14:textId="77777777" w:rsidR="00DF3100" w:rsidRDefault="00536F54">
      <w:pPr>
        <w:pStyle w:val="ECEpartie"/>
      </w:pPr>
      <w:bookmarkStart w:id="12" w:name="_Toc482638815"/>
      <w:bookmarkStart w:id="13" w:name="_Toc500182692"/>
      <w:r>
        <w:t xml:space="preserve">Détermination de la concentration en acide oxalique de la solution S </w:t>
      </w:r>
      <w:r>
        <w:rPr>
          <w:b w:val="0"/>
          <w:bCs/>
        </w:rPr>
        <w:t>(35 minutes conseillées)</w:t>
      </w:r>
      <w:bookmarkEnd w:id="12"/>
      <w:bookmarkEnd w:id="13"/>
    </w:p>
    <w:p w14:paraId="059AE89E" w14:textId="77777777" w:rsidR="00DF3100" w:rsidRDefault="00DF3100">
      <w:pPr>
        <w:pStyle w:val="ECEcorps"/>
        <w:rPr>
          <w:rFonts w:eastAsia="Arial Unicode MS"/>
        </w:rPr>
      </w:pPr>
    </w:p>
    <w:p w14:paraId="7A12CE39" w14:textId="2EF00BE5" w:rsidR="00616F52" w:rsidRPr="00616F52" w:rsidRDefault="00536F54" w:rsidP="00616F52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À l’aide</w:t>
      </w:r>
      <w:r w:rsidR="00616F52">
        <w:rPr>
          <w:rFonts w:eastAsia="Arial Unicode MS"/>
        </w:rPr>
        <w:t xml:space="preserve"> </w:t>
      </w:r>
      <w:r>
        <w:rPr>
          <w:rFonts w:eastAsia="Arial Unicode MS"/>
        </w:rPr>
        <w:t xml:space="preserve">des données </w:t>
      </w:r>
      <w:r w:rsidR="00616F52">
        <w:rPr>
          <w:rFonts w:eastAsia="Arial Unicode MS"/>
        </w:rPr>
        <w:t xml:space="preserve">et du matériel </w:t>
      </w:r>
      <w:r>
        <w:rPr>
          <w:rFonts w:eastAsia="Arial Unicode MS"/>
        </w:rPr>
        <w:t xml:space="preserve">mis à votre disposition, </w:t>
      </w:r>
      <w:r w:rsidR="00616F52">
        <w:rPr>
          <w:rFonts w:eastAsia="Arial Unicode MS"/>
        </w:rPr>
        <w:t xml:space="preserve">déterminer l’indicateur coloré le plus adapté pour mettre en œuvre le titrage </w:t>
      </w:r>
      <w:r w:rsidR="00CE44D1">
        <w:rPr>
          <w:rFonts w:eastAsia="Arial Unicode MS"/>
        </w:rPr>
        <w:t xml:space="preserve">avec suivi </w:t>
      </w:r>
      <w:r w:rsidR="00616F52">
        <w:rPr>
          <w:rFonts w:eastAsia="Arial Unicode MS"/>
        </w:rPr>
        <w:t xml:space="preserve">colorimétrique </w:t>
      </w:r>
      <w:r>
        <w:rPr>
          <w:rFonts w:eastAsia="Arial Unicode MS"/>
        </w:rPr>
        <w:t xml:space="preserve">permettant de déterminer la concentration en quantité de matière réelle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eastAsia="Arial Unicode MS"/>
              </w:rPr>
              <m:t>S</m:t>
            </m:r>
            <m:r>
              <m:rPr>
                <m:nor/>
              </m:rPr>
              <w:rPr>
                <w:rFonts w:ascii="Cambria Math" w:eastAsia="Arial Unicode MS"/>
              </w:rPr>
              <m:t xml:space="preserve">, </m:t>
            </m:r>
            <m:r>
              <m:rPr>
                <m:nor/>
              </m:rPr>
              <w:rPr>
                <w:rFonts w:eastAsia="Arial Unicode MS"/>
              </w:rPr>
              <m:t>réelle</m:t>
            </m:r>
          </m:sub>
        </m:sSub>
      </m:oMath>
      <w:r>
        <w:rPr>
          <w:rFonts w:eastAsia="Arial Unicode MS"/>
        </w:rPr>
        <w:t xml:space="preserve"> d’acide oxalique de la </w:t>
      </w:r>
      <w:r w:rsidRPr="00464496">
        <w:rPr>
          <w:rFonts w:eastAsia="Arial Unicode MS"/>
        </w:rPr>
        <w:t>solution S</w:t>
      </w:r>
      <w:r w:rsidR="00454368" w:rsidRPr="00464496">
        <w:rPr>
          <w:rFonts w:eastAsia="Arial Unicode MS"/>
        </w:rPr>
        <w:t xml:space="preserve"> préparée précédemment</w:t>
      </w:r>
      <w:r w:rsidRPr="00464496">
        <w:rPr>
          <w:rFonts w:eastAsia="Arial Unicode MS"/>
        </w:rPr>
        <w:t>.</w:t>
      </w:r>
    </w:p>
    <w:p w14:paraId="66AE2277" w14:textId="77777777" w:rsidR="00616F52" w:rsidRDefault="00616F52" w:rsidP="00616F5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16D1D27" w14:textId="77777777" w:rsidR="00616F52" w:rsidRDefault="00616F52" w:rsidP="00616F5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204268E" w14:textId="77777777" w:rsidR="00616F52" w:rsidRDefault="00616F52" w:rsidP="00616F5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10DAAE6" w14:textId="12759BB2" w:rsidR="00E37F96" w:rsidRDefault="00E37F96" w:rsidP="00616F5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A707110" w14:textId="77777777" w:rsidR="00616F52" w:rsidRDefault="00616F52" w:rsidP="00616F52">
      <w:pPr>
        <w:pStyle w:val="ECEcorps"/>
        <w:rPr>
          <w:rFonts w:eastAsia="Arial Unicode MS"/>
        </w:rPr>
      </w:pPr>
    </w:p>
    <w:p w14:paraId="1768B01B" w14:textId="19047343" w:rsidR="00616F52" w:rsidRDefault="00616F52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Faire </w:t>
      </w:r>
      <w:r w:rsidR="00DF21A6">
        <w:rPr>
          <w:rFonts w:eastAsia="Arial Unicode MS"/>
        </w:rPr>
        <w:t xml:space="preserve">un </w:t>
      </w:r>
      <w:r>
        <w:rPr>
          <w:rFonts w:eastAsia="Arial Unicode MS"/>
        </w:rPr>
        <w:t xml:space="preserve">schéma </w:t>
      </w:r>
      <w:r w:rsidR="00B64FF1">
        <w:rPr>
          <w:rFonts w:eastAsia="Arial Unicode MS"/>
        </w:rPr>
        <w:t xml:space="preserve">légendé </w:t>
      </w:r>
      <w:r>
        <w:rPr>
          <w:rFonts w:eastAsia="Arial Unicode MS"/>
        </w:rPr>
        <w:t>du montage pour une prise d’essai</w:t>
      </w:r>
      <w:bookmarkStart w:id="14" w:name="_Hlk209460327"/>
      <w:r>
        <w:rPr>
          <w:rFonts w:eastAsia="Arial Unicode MS"/>
        </w:rPr>
        <w:t xml:space="preserve"> de volume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  <w:iCs/>
              </w:rPr>
              <m:t>V</m:t>
            </m:r>
          </m:e>
          <m:sub>
            <m:r>
              <m:rPr>
                <m:nor/>
              </m:rPr>
              <w:rPr>
                <w:rFonts w:eastAsia="Arial Unicode MS"/>
              </w:rPr>
              <m:t>essai</m:t>
            </m:r>
          </m:sub>
        </m:sSub>
        <m:r>
          <m:rPr>
            <m:nor/>
          </m:rPr>
          <w:rPr>
            <w:rFonts w:eastAsia="Arial Unicode MS"/>
          </w:rPr>
          <m:t xml:space="preserve">= 20,0 </m:t>
        </m:r>
        <w:proofErr w:type="spellStart"/>
        <m:r>
          <m:rPr>
            <m:nor/>
          </m:rPr>
          <w:rPr>
            <w:rFonts w:eastAsia="Arial Unicode MS"/>
          </w:rPr>
          <m:t>mL</m:t>
        </m:r>
      </m:oMath>
      <w:bookmarkEnd w:id="14"/>
      <w:proofErr w:type="spellEnd"/>
      <w:r>
        <w:rPr>
          <w:rFonts w:eastAsia="Arial Unicode MS"/>
        </w:rPr>
        <w:t>.</w:t>
      </w:r>
    </w:p>
    <w:p w14:paraId="6535625A" w14:textId="77777777" w:rsidR="00DF3100" w:rsidRDefault="00DF3100">
      <w:pPr>
        <w:pStyle w:val="ECErponse"/>
      </w:pPr>
    </w:p>
    <w:p w14:paraId="5F2C4854" w14:textId="77777777" w:rsidR="00616F52" w:rsidRDefault="00616F52">
      <w:pPr>
        <w:pStyle w:val="ECErponse"/>
      </w:pPr>
    </w:p>
    <w:p w14:paraId="613D1AAE" w14:textId="77777777" w:rsidR="00616F52" w:rsidRDefault="00616F52">
      <w:pPr>
        <w:pStyle w:val="ECErponse"/>
      </w:pPr>
    </w:p>
    <w:p w14:paraId="1CF08BDA" w14:textId="77777777" w:rsidR="00616F52" w:rsidRDefault="00616F52">
      <w:pPr>
        <w:pStyle w:val="ECErponse"/>
      </w:pPr>
    </w:p>
    <w:p w14:paraId="3BB0086E" w14:textId="77777777" w:rsidR="00616F52" w:rsidRDefault="00616F52">
      <w:pPr>
        <w:pStyle w:val="ECErponse"/>
      </w:pPr>
    </w:p>
    <w:p w14:paraId="1A4D961F" w14:textId="77777777" w:rsidR="00616F52" w:rsidRDefault="00616F52">
      <w:pPr>
        <w:pStyle w:val="ECErponse"/>
      </w:pPr>
    </w:p>
    <w:p w14:paraId="5ED543CF" w14:textId="77777777" w:rsidR="00616F52" w:rsidRDefault="00616F52">
      <w:pPr>
        <w:pStyle w:val="ECErponse"/>
      </w:pPr>
    </w:p>
    <w:p w14:paraId="65AA0524" w14:textId="77777777" w:rsidR="00616F52" w:rsidRDefault="00616F52">
      <w:pPr>
        <w:pStyle w:val="ECErponse"/>
      </w:pPr>
    </w:p>
    <w:p w14:paraId="6A0D87C3" w14:textId="77777777" w:rsidR="00616F52" w:rsidRDefault="00616F52">
      <w:pPr>
        <w:pStyle w:val="ECErponse"/>
      </w:pPr>
    </w:p>
    <w:p w14:paraId="6346E91C" w14:textId="77777777" w:rsidR="00464496" w:rsidRDefault="00464496">
      <w:pPr>
        <w:pStyle w:val="ECErponse"/>
      </w:pPr>
    </w:p>
    <w:p w14:paraId="1E14369B" w14:textId="77777777" w:rsidR="00464496" w:rsidRDefault="00464496">
      <w:pPr>
        <w:pStyle w:val="ECErponse"/>
      </w:pPr>
    </w:p>
    <w:p w14:paraId="229AD33E" w14:textId="77777777" w:rsidR="00464496" w:rsidRDefault="0046449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F3100" w14:paraId="6AB3D37E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4C0B013E" w14:textId="77777777" w:rsidR="00DF3100" w:rsidRDefault="00DF310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5D3B8C9A" w14:textId="77777777" w:rsidR="00DF3100" w:rsidRDefault="00536F54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508DCB0F" w14:textId="77777777" w:rsidR="00DF3100" w:rsidRDefault="00DF310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F3100" w14:paraId="6B6CCF7F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C568D6" w14:textId="77777777" w:rsidR="00DF3100" w:rsidRDefault="00536F5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35387FA" w14:textId="77777777" w:rsidR="00DF3100" w:rsidRDefault="00536F54">
            <w:pPr>
              <w:pStyle w:val="ECEappel"/>
              <w:framePr w:wrap="around"/>
            </w:pPr>
            <w:r>
              <w:t>Appeler le professeur pour lui présenter la démarche expérimentale</w:t>
            </w:r>
          </w:p>
          <w:p w14:paraId="56943811" w14:textId="77777777" w:rsidR="00DF3100" w:rsidRDefault="00536F54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37D180" w14:textId="77777777" w:rsidR="00DF3100" w:rsidRDefault="00536F54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48613D96" w14:textId="77777777" w:rsidR="00DF3100" w:rsidRDefault="00DF3100">
      <w:pPr>
        <w:pStyle w:val="ECEcorps"/>
        <w:rPr>
          <w:rFonts w:eastAsia="Arial Unicode MS"/>
        </w:rPr>
      </w:pPr>
    </w:p>
    <w:p w14:paraId="55848679" w14:textId="77777777" w:rsidR="00DF3100" w:rsidRDefault="00536F54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Mettre en œuvre le protocole. Noter la valeur du volume équivalent : </w:t>
      </w:r>
      <w:bookmarkStart w:id="15" w:name="_Hlk209460604"/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  <w:iCs/>
              </w:rPr>
              <m:t>V</m:t>
            </m:r>
          </m:e>
          <m:sub>
            <m:r>
              <m:rPr>
                <m:nor/>
              </m:rPr>
              <w:rPr>
                <w:rFonts w:eastAsia="Arial Unicode MS"/>
              </w:rPr>
              <m:t>E</m:t>
            </m:r>
          </m:sub>
        </m:sSub>
        <m:r>
          <w:rPr>
            <w:rFonts w:ascii="Cambria Math" w:eastAsia="Arial Unicode MS" w:hAnsi="Cambria Math"/>
          </w:rPr>
          <m:t>=</m:t>
        </m:r>
      </m:oMath>
      <w:bookmarkEnd w:id="15"/>
      <w:r>
        <w:rPr>
          <w:rFonts w:eastAsia="Arial Unicode MS"/>
        </w:rPr>
        <w:t>……………………………………</w:t>
      </w:r>
    </w:p>
    <w:p w14:paraId="3C20B2CF" w14:textId="77777777" w:rsidR="00072121" w:rsidRDefault="00072121" w:rsidP="00072121">
      <w:pPr>
        <w:pStyle w:val="ECEcorps"/>
        <w:ind w:left="360"/>
        <w:rPr>
          <w:rFonts w:eastAsia="Arial Unicode MS"/>
        </w:rPr>
      </w:pPr>
    </w:p>
    <w:p w14:paraId="5827A7C6" w14:textId="3CFEAE3E" w:rsidR="00DF3100" w:rsidRDefault="00536F54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Déterminer la concentration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eastAsia="Arial Unicode MS"/>
              </w:rPr>
              <m:t>S</m:t>
            </m:r>
            <m:r>
              <m:rPr>
                <m:nor/>
              </m:rPr>
              <w:rPr>
                <w:rFonts w:ascii="Cambria Math" w:eastAsia="Arial Unicode MS"/>
              </w:rPr>
              <m:t xml:space="preserve">, </m:t>
            </m:r>
            <m:r>
              <m:rPr>
                <m:nor/>
              </m:rPr>
              <w:rPr>
                <w:rFonts w:eastAsia="Arial Unicode MS"/>
              </w:rPr>
              <m:t>réelle</m:t>
            </m:r>
          </m:sub>
        </m:sSub>
      </m:oMath>
      <w:r>
        <w:rPr>
          <w:rFonts w:eastAsia="Arial Unicode MS"/>
        </w:rPr>
        <w:t xml:space="preserve"> en acide oxalique de la solution S.</w:t>
      </w:r>
    </w:p>
    <w:p w14:paraId="045C2C47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F1B4EFF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5B2771C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A904B49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CA4E864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D7418FF" w14:textId="77777777" w:rsidR="00DF3100" w:rsidRDefault="00DF3100">
      <w:pPr>
        <w:pStyle w:val="ECEcorps"/>
      </w:pPr>
    </w:p>
    <w:p w14:paraId="79EFD237" w14:textId="77777777" w:rsidR="00DF3100" w:rsidRDefault="00536F54">
      <w:pPr>
        <w:pStyle w:val="ECEcorps"/>
        <w:numPr>
          <w:ilvl w:val="1"/>
          <w:numId w:val="4"/>
        </w:numPr>
      </w:pPr>
      <w:r>
        <w:t>Commenter le résultat obtenu.</w:t>
      </w:r>
    </w:p>
    <w:p w14:paraId="0060712F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EE2CC74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DCA3058" w14:textId="77777777" w:rsidR="00DF3100" w:rsidRDefault="00DF3100">
      <w:pPr>
        <w:pStyle w:val="ECEcorps"/>
      </w:pPr>
    </w:p>
    <w:p w14:paraId="40AD7CA3" w14:textId="77777777" w:rsidR="00DF3100" w:rsidRDefault="00DF310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F3100" w14:paraId="1E61DFED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5A934F02" w14:textId="77777777" w:rsidR="00DF3100" w:rsidRDefault="00DF310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604AD8BD" w14:textId="77777777" w:rsidR="00DF3100" w:rsidRDefault="00536F54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3269C2C5" w14:textId="77777777" w:rsidR="00DF3100" w:rsidRDefault="00DF310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F3100" w14:paraId="2E58D5B5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BD85134" w14:textId="77777777" w:rsidR="00DF3100" w:rsidRDefault="00536F5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4B00405" w14:textId="77777777" w:rsidR="00DF3100" w:rsidRDefault="00536F54">
            <w:pPr>
              <w:pStyle w:val="ECEappel"/>
              <w:framePr w:wrap="around"/>
            </w:pPr>
            <w:r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96FC46" w14:textId="77777777" w:rsidR="00DF3100" w:rsidRDefault="00536F54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210B5726" w14:textId="77777777" w:rsidR="00DF3100" w:rsidRDefault="00DF3100">
      <w:pPr>
        <w:pStyle w:val="ECEcorps"/>
        <w:rPr>
          <w:rFonts w:eastAsia="Arial Unicode MS"/>
        </w:rPr>
      </w:pPr>
    </w:p>
    <w:p w14:paraId="4B1B10D7" w14:textId="54489691" w:rsidR="00DF3100" w:rsidRDefault="00464496">
      <w:pPr>
        <w:pStyle w:val="ECEpartie"/>
      </w:pPr>
      <w:bookmarkStart w:id="16" w:name="_Toc482638816"/>
      <w:bookmarkStart w:id="17" w:name="_Toc500182693"/>
      <w:r>
        <w:t>Degré d’hydratation</w:t>
      </w:r>
      <w:r w:rsidR="00536F54">
        <w:t xml:space="preserve"> de l’acide oxalique présent dans l’échantillon </w:t>
      </w:r>
      <w:r w:rsidR="00536F54">
        <w:rPr>
          <w:b w:val="0"/>
          <w:bCs/>
        </w:rPr>
        <w:t>(10 minutes conseillées)</w:t>
      </w:r>
      <w:bookmarkEnd w:id="16"/>
      <w:bookmarkEnd w:id="17"/>
    </w:p>
    <w:p w14:paraId="6861DF3F" w14:textId="77777777" w:rsidR="00DF3100" w:rsidRDefault="00DF3100">
      <w:pPr>
        <w:pStyle w:val="ECEcorps"/>
        <w:rPr>
          <w:b/>
        </w:rPr>
      </w:pPr>
    </w:p>
    <w:p w14:paraId="0DBE573F" w14:textId="57EBD59D" w:rsidR="00DF3100" w:rsidRDefault="00536F54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À l’aide des données, déterminer la valeur du degré d’hydratation </w:t>
      </w:r>
      <m:oMath>
        <m:r>
          <m:rPr>
            <m:nor/>
          </m:rPr>
          <w:rPr>
            <w:rFonts w:eastAsia="Arial Unicode MS"/>
            <w:i/>
            <w:iCs/>
          </w:rPr>
          <m:t>p</m:t>
        </m:r>
      </m:oMath>
      <w:r>
        <w:rPr>
          <w:rFonts w:eastAsia="Arial Unicode MS"/>
        </w:rPr>
        <w:t xml:space="preserve"> de </w:t>
      </w:r>
      <w:r w:rsidR="00454368" w:rsidRPr="00464496">
        <w:rPr>
          <w:rFonts w:eastAsia="Arial Unicode MS"/>
        </w:rPr>
        <w:t xml:space="preserve">l’échantillon </w:t>
      </w:r>
      <w:r w:rsidR="00454368">
        <w:rPr>
          <w:rFonts w:eastAsia="Arial Unicode MS"/>
        </w:rPr>
        <w:t>d</w:t>
      </w:r>
      <w:r>
        <w:rPr>
          <w:rFonts w:eastAsia="Arial Unicode MS"/>
        </w:rPr>
        <w:t>’acide oxalique utilisé pour préparer la solution S.</w:t>
      </w:r>
    </w:p>
    <w:p w14:paraId="5A25B9D1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4566E06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2C7D9FC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802717D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0C89330" w14:textId="77777777" w:rsidR="00DF3100" w:rsidRDefault="00DF3100">
      <w:pPr>
        <w:pStyle w:val="ECEcorps"/>
        <w:rPr>
          <w:rFonts w:eastAsia="Arial Unicode MS"/>
        </w:rPr>
      </w:pPr>
    </w:p>
    <w:p w14:paraId="39C37CEB" w14:textId="77777777" w:rsidR="00DF3100" w:rsidRDefault="00536F54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Préciser si cet échantillon d’acide oxalique peut être utilisé pour mettre en œuvre une synthèse en milieu anhydre.</w:t>
      </w:r>
    </w:p>
    <w:p w14:paraId="1B9C0D1A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CAF6E18" w14:textId="77777777" w:rsidR="00DF3100" w:rsidRDefault="00536F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B340174" w14:textId="77777777" w:rsidR="00DF3100" w:rsidRDefault="00DF3100">
      <w:pPr>
        <w:pStyle w:val="ECEpartie"/>
        <w:numPr>
          <w:ilvl w:val="0"/>
          <w:numId w:val="0"/>
        </w:numPr>
        <w:rPr>
          <w:rFonts w:eastAsia="Arial Unicode MS"/>
        </w:rPr>
      </w:pPr>
    </w:p>
    <w:p w14:paraId="5528829D" w14:textId="77777777" w:rsidR="00DF3100" w:rsidRDefault="00536F54">
      <w:pPr>
        <w:pStyle w:val="ECEcorps"/>
        <w:rPr>
          <w:b/>
        </w:rPr>
      </w:pPr>
      <w:r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F3100">
      <w:headerReference w:type="default" r:id="rId13"/>
      <w:footerReference w:type="default" r:id="rId14"/>
      <w:pgSz w:w="11906" w:h="16838"/>
      <w:pgMar w:top="851" w:right="851" w:bottom="851" w:left="851" w:header="851" w:footer="5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BF2FD8" w14:textId="77777777" w:rsidR="007E5777" w:rsidRDefault="007E5777">
      <w:r>
        <w:separator/>
      </w:r>
    </w:p>
  </w:endnote>
  <w:endnote w:type="continuationSeparator" w:id="0">
    <w:p w14:paraId="2C46B9AE" w14:textId="77777777" w:rsidR="007E5777" w:rsidRDefault="007E5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997571" w14:textId="318FC804" w:rsidR="00DF3100" w:rsidRDefault="00536F54">
    <w:pPr>
      <w:pStyle w:val="ECEcorps"/>
      <w:jc w:val="right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5B557A">
      <w:rPr>
        <w:noProof/>
      </w:rPr>
      <w:t>5</w:t>
    </w:r>
    <w:r>
      <w:fldChar w:fldCharType="end"/>
    </w:r>
    <w:r>
      <w:t xml:space="preserve"> sur </w:t>
    </w:r>
    <w:r w:rsidR="005B557A">
      <w:fldChar w:fldCharType="begin"/>
    </w:r>
    <w:r w:rsidR="005B557A">
      <w:instrText>NUMPAGES \* MERGEFORMAT</w:instrText>
    </w:r>
    <w:r w:rsidR="005B557A">
      <w:fldChar w:fldCharType="separate"/>
    </w:r>
    <w:r w:rsidR="005B557A">
      <w:rPr>
        <w:noProof/>
      </w:rPr>
      <w:t>5</w:t>
    </w:r>
    <w:r w:rsidR="005B557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B97ABB" w14:textId="77777777" w:rsidR="007E5777" w:rsidRDefault="007E5777">
      <w:r>
        <w:separator/>
      </w:r>
    </w:p>
  </w:footnote>
  <w:footnote w:type="continuationSeparator" w:id="0">
    <w:p w14:paraId="64545924" w14:textId="77777777" w:rsidR="007E5777" w:rsidRDefault="007E5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2D05D6" w14:textId="674CD702" w:rsidR="00DF3100" w:rsidRDefault="00536F54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72121">
      <w:rPr>
        <w:b/>
        <w:sz w:val="24"/>
        <w:szCs w:val="24"/>
      </w:rPr>
      <w:t>ACIDE OXALIQUE</w:t>
    </w:r>
    <w:r>
      <w:tab/>
      <w:t>Session</w:t>
    </w:r>
  </w:p>
  <w:p w14:paraId="49F81CE8" w14:textId="1C61C490" w:rsidR="00DF3100" w:rsidRDefault="00536F54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B696A"/>
    <w:multiLevelType w:val="multilevel"/>
    <w:tmpl w:val="CDF4C718"/>
    <w:lvl w:ilvl="0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" w15:restartNumberingAfterBreak="0">
    <w:nsid w:val="22554BC0"/>
    <w:multiLevelType w:val="multilevel"/>
    <w:tmpl w:val="CA084F56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9962C65"/>
    <w:multiLevelType w:val="multilevel"/>
    <w:tmpl w:val="D35E4DAC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BA519AA"/>
    <w:multiLevelType w:val="multilevel"/>
    <w:tmpl w:val="9C028404"/>
    <w:lvl w:ilvl="0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1225B3"/>
    <w:multiLevelType w:val="multilevel"/>
    <w:tmpl w:val="EE586CE2"/>
    <w:lvl w:ilvl="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EA29B4"/>
    <w:multiLevelType w:val="multilevel"/>
    <w:tmpl w:val="4F0C1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3C4C39"/>
    <w:multiLevelType w:val="multilevel"/>
    <w:tmpl w:val="D6A28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0"/>
  </w:num>
  <w:num w:numId="8">
    <w:abstractNumId w:val="0"/>
  </w:num>
  <w:num w:numId="9">
    <w:abstractNumId w:val="5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100"/>
    <w:rsid w:val="0000024A"/>
    <w:rsid w:val="000435A7"/>
    <w:rsid w:val="00072121"/>
    <w:rsid w:val="00072352"/>
    <w:rsid w:val="0008372F"/>
    <w:rsid w:val="00087D3B"/>
    <w:rsid w:val="000E0D09"/>
    <w:rsid w:val="000F01D8"/>
    <w:rsid w:val="00105CB0"/>
    <w:rsid w:val="001D1277"/>
    <w:rsid w:val="00271874"/>
    <w:rsid w:val="00282C0E"/>
    <w:rsid w:val="002D4C12"/>
    <w:rsid w:val="003E43FD"/>
    <w:rsid w:val="003E495A"/>
    <w:rsid w:val="00454368"/>
    <w:rsid w:val="00464496"/>
    <w:rsid w:val="00483439"/>
    <w:rsid w:val="004C5368"/>
    <w:rsid w:val="004E71F2"/>
    <w:rsid w:val="00536F54"/>
    <w:rsid w:val="00562242"/>
    <w:rsid w:val="005B557A"/>
    <w:rsid w:val="00616F52"/>
    <w:rsid w:val="00645EBF"/>
    <w:rsid w:val="00651BCB"/>
    <w:rsid w:val="00664BE9"/>
    <w:rsid w:val="006B148A"/>
    <w:rsid w:val="006F0F2C"/>
    <w:rsid w:val="00731263"/>
    <w:rsid w:val="007E5777"/>
    <w:rsid w:val="00AA63E1"/>
    <w:rsid w:val="00B64FF1"/>
    <w:rsid w:val="00BA03F5"/>
    <w:rsid w:val="00BE7F6D"/>
    <w:rsid w:val="00C05416"/>
    <w:rsid w:val="00C27B8F"/>
    <w:rsid w:val="00CA62F5"/>
    <w:rsid w:val="00CE44D1"/>
    <w:rsid w:val="00CF2909"/>
    <w:rsid w:val="00D21F0D"/>
    <w:rsid w:val="00D22616"/>
    <w:rsid w:val="00D36402"/>
    <w:rsid w:val="00D8316B"/>
    <w:rsid w:val="00DF21A6"/>
    <w:rsid w:val="00DF3100"/>
    <w:rsid w:val="00DF7DFC"/>
    <w:rsid w:val="00E37F96"/>
    <w:rsid w:val="00E41332"/>
    <w:rsid w:val="00EF7517"/>
    <w:rsid w:val="00F16D37"/>
    <w:rsid w:val="00F42677"/>
    <w:rsid w:val="00F64C62"/>
    <w:rsid w:val="00F74473"/>
    <w:rsid w:val="00FF6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55EDE85"/>
  <w15:docId w15:val="{9DF96DB1-27A4-45A2-A51C-B36547992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link w:val="Titre1Car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link w:val="Titre3Car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link w:val="Titre5Car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link w:val="Titre6Car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link w:val="Titre7Car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link w:val="Titre8Car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link w:val="Titre9Car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 w:line="240" w:lineRule="auto"/>
      <w:contextualSpacing/>
    </w:pPr>
    <w:rPr>
      <w:rFonts w:eastAsia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  <w:pPr>
      <w:spacing w:line="240" w:lineRule="auto"/>
    </w:pPr>
  </w:style>
  <w:style w:type="character" w:styleId="Emphasepl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pl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character" w:customStyle="1" w:styleId="En-tteCar">
    <w:name w:val="En-tête Car"/>
    <w:basedOn w:val="Policepardfaut"/>
    <w:link w:val="En-tte"/>
    <w:uiPriority w:val="99"/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line="240" w:lineRule="auto"/>
    </w:p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paragraph" w:customStyle="1" w:styleId="ECErepres">
    <w:name w:val="ECErepères"/>
    <w:basedOn w:val="ECEcorps"/>
    <w:qFormat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pPr>
      <w:tabs>
        <w:tab w:val="left" w:pos="-1985"/>
      </w:tabs>
      <w:ind w:left="708"/>
    </w:pPr>
  </w:style>
  <w:style w:type="paragraph" w:styleId="Pieddepage">
    <w:name w:val="footer"/>
    <w:basedOn w:val="Normal"/>
    <w:link w:val="PieddepageCar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link w:val="En-tteCar"/>
    <w:pPr>
      <w:framePr w:hSpace="142" w:wrap="auto" w:vAnchor="text" w:hAnchor="text" w:y="1"/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link w:val="NotedebasdepageCar"/>
    <w:semiHidden/>
  </w:style>
  <w:style w:type="paragraph" w:styleId="Sous-titre">
    <w:name w:val="Subtitle"/>
    <w:basedOn w:val="Normal"/>
    <w:link w:val="Sous-titreCar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Pr>
      <w:sz w:val="16"/>
      <w:szCs w:val="16"/>
    </w:rPr>
  </w:style>
  <w:style w:type="paragraph" w:styleId="Commentaire">
    <w:name w:val="annotation text"/>
    <w:basedOn w:val="Normal"/>
    <w:semiHidden/>
  </w:style>
  <w:style w:type="paragraph" w:styleId="Objetducommentaire">
    <w:name w:val="annotation subject"/>
    <w:basedOn w:val="Commentaire"/>
    <w:next w:val="Commentaire"/>
    <w:semiHidden/>
    <w:rPr>
      <w:b/>
      <w:bCs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M1">
    <w:name w:val="toc 1"/>
    <w:basedOn w:val="ECEcorps"/>
    <w:next w:val="Normal"/>
    <w:uiPriority w:val="39"/>
    <w:qFormat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uiPriority w:val="39"/>
    <w:unhideWhenUsed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Pr>
      <w:rFonts w:ascii="Arial" w:hAnsi="Arial" w:cs="Arial"/>
      <w:b/>
      <w:color w:val="000000"/>
    </w:rPr>
  </w:style>
  <w:style w:type="paragraph" w:customStyle="1" w:styleId="ECEcorps">
    <w:name w:val="ECEcorps"/>
    <w:qFormat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Pr>
      <w:b/>
      <w:u w:val="single"/>
    </w:rPr>
  </w:style>
  <w:style w:type="paragraph" w:customStyle="1" w:styleId="ECEfiche">
    <w:name w:val="ECEfiche"/>
    <w:basedOn w:val="Titre1"/>
    <w:next w:val="ECEcorps"/>
    <w:qFormat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Pr>
      <w:b/>
      <w:sz w:val="22"/>
      <w:szCs w:val="22"/>
    </w:rPr>
  </w:style>
  <w:style w:type="paragraph" w:customStyle="1" w:styleId="ECEbordure">
    <w:name w:val="ECEbordure"/>
    <w:basedOn w:val="ECEcorps"/>
    <w:qFormat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uiPriority w:val="39"/>
    <w:unhideWhenUsed/>
    <w:pPr>
      <w:ind w:left="600"/>
    </w:pPr>
  </w:style>
  <w:style w:type="paragraph" w:styleId="TM5">
    <w:name w:val="toc 5"/>
    <w:basedOn w:val="Normal"/>
    <w:next w:val="Normal"/>
    <w:uiPriority w:val="39"/>
    <w:unhideWhenUsed/>
    <w:pPr>
      <w:ind w:left="800"/>
    </w:pPr>
  </w:style>
  <w:style w:type="paragraph" w:styleId="TM6">
    <w:name w:val="toc 6"/>
    <w:basedOn w:val="Normal"/>
    <w:next w:val="Normal"/>
    <w:uiPriority w:val="39"/>
    <w:unhideWhenUsed/>
    <w:pPr>
      <w:ind w:left="1000"/>
    </w:pPr>
  </w:style>
  <w:style w:type="paragraph" w:styleId="TM7">
    <w:name w:val="toc 7"/>
    <w:basedOn w:val="Normal"/>
    <w:next w:val="Normal"/>
    <w:uiPriority w:val="39"/>
    <w:unhideWhenUsed/>
    <w:pPr>
      <w:ind w:left="1200"/>
    </w:pPr>
  </w:style>
  <w:style w:type="paragraph" w:styleId="TM8">
    <w:name w:val="toc 8"/>
    <w:basedOn w:val="Normal"/>
    <w:next w:val="Normal"/>
    <w:uiPriority w:val="39"/>
    <w:unhideWhenUsed/>
    <w:pPr>
      <w:ind w:left="1400"/>
    </w:pPr>
  </w:style>
  <w:style w:type="paragraph" w:styleId="TM9">
    <w:name w:val="toc 9"/>
    <w:basedOn w:val="Normal"/>
    <w:next w:val="Normal"/>
    <w:uiPriority w:val="39"/>
    <w:unhideWhenUsed/>
    <w:pPr>
      <w:ind w:left="1600"/>
    </w:pPr>
  </w:style>
  <w:style w:type="character" w:styleId="Textedelespacerserv">
    <w:name w:val="Placeholder Text"/>
    <w:basedOn w:val="Policepardfaut"/>
    <w:uiPriority w:val="99"/>
    <w:semiHidden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0240F7D-EAA3-4B7A-B0DD-1436CF3E7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5</Pages>
  <Words>1220</Words>
  <Characters>6714</Characters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2026-02-06T14:26:00Z</cp:lastPrinted>
  <dcterms:created xsi:type="dcterms:W3CDTF">2025-11-18T10:25:00Z</dcterms:created>
  <dcterms:modified xsi:type="dcterms:W3CDTF">2026-02-06T14:26:00Z</dcterms:modified>
</cp:coreProperties>
</file>